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240" w:lineRule="auto"/>
        <w:ind w:firstLine="0" w:firstLineChars="0"/>
        <w:jc w:val="center"/>
        <w:textAlignment w:val="auto"/>
        <w:rPr>
          <w:rFonts w:hint="eastAsia" w:ascii="方正小标宋简体" w:hAnsi="方正小标宋简体" w:eastAsia="方正小标宋简体" w:cs="方正小标宋简体"/>
          <w:b/>
          <w:bCs/>
          <w:kern w:val="44"/>
          <w:sz w:val="24"/>
          <w:szCs w:val="24"/>
          <w:lang w:val="en-US" w:eastAsia="zh-CN" w:bidi="ar-SA"/>
        </w:rPr>
      </w:pPr>
      <w:bookmarkStart w:id="9" w:name="_GoBack"/>
      <w:bookmarkEnd w:id="9"/>
      <w:bookmarkStart w:id="0" w:name="_Toc16182"/>
      <w:bookmarkStart w:id="1" w:name="_Toc9272"/>
      <w:bookmarkStart w:id="2" w:name="_Toc25763"/>
      <w:bookmarkStart w:id="3" w:name="_Toc28308"/>
      <w:bookmarkStart w:id="4" w:name="_Toc6381"/>
      <w:bookmarkStart w:id="5" w:name="_Toc16691"/>
      <w:r>
        <w:rPr>
          <w:rStyle w:val="13"/>
          <w:rFonts w:hint="eastAsia" w:ascii="方正小标宋简体" w:hAnsi="方正小标宋简体" w:eastAsia="方正小标宋简体" w:cs="方正小标宋简体"/>
          <w:lang w:val="en-US" w:eastAsia="zh-CN"/>
        </w:rPr>
        <w:t>农村产权流转交易结算通知书</w:t>
      </w:r>
      <w:bookmarkEnd w:id="0"/>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受让方：</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根据农村产权流转交易有关规定，贵方于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cs="仿宋"/>
          <w:sz w:val="24"/>
          <w:szCs w:val="24"/>
          <w:u w:val="single"/>
          <w:lang w:val="en-US" w:eastAsia="zh-CN"/>
        </w:rPr>
        <w:t xml:space="preserve"> </w:t>
      </w:r>
      <w:r>
        <w:rPr>
          <w:rFonts w:hint="eastAsia" w:ascii="仿宋" w:hAnsi="仿宋" w:eastAsia="仿宋" w:cs="仿宋"/>
          <w:sz w:val="24"/>
          <w:szCs w:val="24"/>
        </w:rPr>
        <w:t>日前将项目</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项目编号</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sz w:val="24"/>
          <w:szCs w:val="24"/>
        </w:rPr>
        <w:t>标的名称</w:t>
      </w:r>
      <w:r>
        <w:rPr>
          <w:rFonts w:hint="eastAsia" w:ascii="仿宋" w:hAnsi="仿宋" w:eastAsia="仿宋" w:cs="仿宋"/>
          <w:sz w:val="24"/>
          <w:szCs w:val="24"/>
          <w:lang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项目的款项汇入</w:t>
      </w:r>
      <w:r>
        <w:rPr>
          <w:rFonts w:hint="eastAsia" w:ascii="仿宋" w:hAnsi="仿宋" w:cs="仿宋"/>
          <w:sz w:val="24"/>
          <w:szCs w:val="24"/>
          <w:lang w:eastAsia="zh-CN"/>
        </w:rPr>
        <w:t>张家界市</w:t>
      </w:r>
      <w:r>
        <w:rPr>
          <w:rFonts w:hint="eastAsia" w:ascii="仿宋" w:hAnsi="仿宋" w:eastAsia="仿宋" w:cs="仿宋"/>
          <w:sz w:val="24"/>
          <w:szCs w:val="24"/>
        </w:rPr>
        <w:t>农村产权中心账户合计人民币：（大写）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元，逾期产生一切问题，均由贵方自行承担责任。</w:t>
      </w:r>
    </w:p>
    <w:p>
      <w:pPr>
        <w:adjustRightInd/>
        <w:snapToGrid/>
        <w:spacing w:line="240" w:lineRule="auto"/>
        <w:ind w:firstLine="0" w:firstLineChars="0"/>
        <w:rPr>
          <w:rFonts w:ascii="宋体" w:hAnsi="宋体" w:eastAsia="宋体" w:cs="Times New Roman"/>
          <w:sz w:val="24"/>
          <w:szCs w:val="24"/>
        </w:rPr>
      </w:pPr>
      <w:r>
        <w:rPr>
          <w:rFonts w:ascii="宋体" w:hAnsi="宋体" w:eastAsia="宋体" w:cs="Times New Roman"/>
          <w:sz w:val="24"/>
          <w:szCs w:val="24"/>
        </w:rPr>
        <mc:AlternateContent>
          <mc:Choice Requires="wps">
            <w:drawing>
              <wp:anchor distT="0" distB="0" distL="114300" distR="114300" simplePos="0" relativeHeight="251659264" behindDoc="1" locked="0" layoutInCell="1" allowOverlap="1">
                <wp:simplePos x="0" y="0"/>
                <wp:positionH relativeFrom="page">
                  <wp:posOffset>1087755</wp:posOffset>
                </wp:positionH>
                <wp:positionV relativeFrom="paragraph">
                  <wp:posOffset>172720</wp:posOffset>
                </wp:positionV>
                <wp:extent cx="5443855" cy="1842135"/>
                <wp:effectExtent l="4445" t="4445" r="19050" b="20320"/>
                <wp:wrapTopAndBottom/>
                <wp:docPr id="133" name="文本框 133"/>
                <wp:cNvGraphicFramePr/>
                <a:graphic xmlns:a="http://schemas.openxmlformats.org/drawingml/2006/main">
                  <a:graphicData uri="http://schemas.microsoft.com/office/word/2010/wordprocessingShape">
                    <wps:wsp>
                      <wps:cNvSpPr txBox="1"/>
                      <wps:spPr>
                        <a:xfrm>
                          <a:off x="0" y="0"/>
                          <a:ext cx="5443855" cy="1842135"/>
                        </a:xfrm>
                        <a:prstGeom prst="rect">
                          <a:avLst/>
                        </a:prstGeom>
                        <a:noFill/>
                        <a:ln w="6096"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pacing w:val="-4"/>
                                <w:sz w:val="21"/>
                                <w:szCs w:val="21"/>
                              </w:rPr>
                            </w:pPr>
                            <w:r>
                              <w:rPr>
                                <w:rFonts w:hint="eastAsia" w:ascii="仿宋" w:hAnsi="仿宋" w:eastAsia="仿宋" w:cs="仿宋"/>
                                <w:spacing w:val="-4"/>
                                <w:sz w:val="21"/>
                                <w:szCs w:val="21"/>
                              </w:rPr>
                              <w:t xml:space="preserve">项目编号：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pacing w:val="-4"/>
                                <w:sz w:val="21"/>
                                <w:szCs w:val="21"/>
                              </w:rPr>
                            </w:pPr>
                            <w:r>
                              <w:rPr>
                                <w:rFonts w:hint="eastAsia" w:ascii="仿宋" w:hAnsi="仿宋" w:eastAsia="仿宋" w:cs="仿宋"/>
                                <w:spacing w:val="-4"/>
                                <w:sz w:val="21"/>
                                <w:szCs w:val="21"/>
                              </w:rPr>
                              <w:t xml:space="preserve">项目名称：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rPr>
                              <w:t xml:space="preserve">转出方：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rPr>
                              <w:t>受让方：</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汇入账号</w:t>
                            </w:r>
                            <w:r>
                              <w:rPr>
                                <w:rFonts w:hint="eastAsia" w:ascii="仿宋" w:hAnsi="仿宋" w:eastAsia="仿宋" w:cs="仿宋"/>
                                <w:sz w:val="21"/>
                                <w:szCs w:val="21"/>
                              </w:rPr>
                              <w:t xml:space="preserve">户名：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汇入</w:t>
                            </w:r>
                            <w:r>
                              <w:rPr>
                                <w:rFonts w:hint="eastAsia" w:ascii="仿宋" w:hAnsi="仿宋" w:eastAsia="仿宋" w:cs="仿宋"/>
                                <w:sz w:val="21"/>
                                <w:szCs w:val="21"/>
                              </w:rPr>
                              <w:t>账号：</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ascii="Times New Roman" w:hAnsi="Times New Roman" w:eastAsia="宋体" w:cs="Times New Roman"/>
                                <w:sz w:val="21"/>
                                <w:szCs w:val="21"/>
                              </w:rPr>
                            </w:pPr>
                            <w:r>
                              <w:rPr>
                                <w:rFonts w:ascii="Times New Roman" w:hAnsi="Times New Roman" w:eastAsia="宋体" w:cs="Times New Roman"/>
                                <w:sz w:val="21"/>
                                <w:szCs w:val="21"/>
                              </w:rPr>
                              <w:t>开户银行：</w:t>
                            </w:r>
                          </w:p>
                          <w:p>
                            <w:pPr>
                              <w:widowControl w:val="0"/>
                              <w:snapToGrid w:val="0"/>
                              <w:jc w:val="left"/>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left:85.65pt;margin-top:13.6pt;height:145.05pt;width:428.65pt;mso-position-horizontal-relative:page;mso-wrap-distance-bottom:0pt;mso-wrap-distance-top:0pt;z-index:-251657216;mso-width-relative:page;mso-height-relative:page;" filled="f" stroked="t" coordsize="21600,21600" o:gfxdata="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KaGytcAAAALAQAA&#10;DwAAAAAAAAABACAAAAAiAAAAZHJzL2Rvd25yZXYueG1sUEsBAhQAFAAAAAgAh07iQKggQRMaAgAA&#10;RAQAAA4AAAAAAAAAAQAgAAAAJgEAAGRycy9lMm9Eb2MueG1sUEsFBgAAAAAGAAYAWQEAALIFAAAA&#10;AA==&#10;">
                <v:fill on="f" focussize="0,0"/>
                <v:stroke weight="0.48pt" color="#000000"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pacing w:val="-4"/>
                          <w:sz w:val="21"/>
                          <w:szCs w:val="21"/>
                        </w:rPr>
                      </w:pPr>
                      <w:r>
                        <w:rPr>
                          <w:rFonts w:hint="eastAsia" w:ascii="仿宋" w:hAnsi="仿宋" w:eastAsia="仿宋" w:cs="仿宋"/>
                          <w:spacing w:val="-4"/>
                          <w:sz w:val="21"/>
                          <w:szCs w:val="21"/>
                        </w:rPr>
                        <w:t xml:space="preserve">项目编号：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pacing w:val="-4"/>
                          <w:sz w:val="21"/>
                          <w:szCs w:val="21"/>
                        </w:rPr>
                      </w:pPr>
                      <w:r>
                        <w:rPr>
                          <w:rFonts w:hint="eastAsia" w:ascii="仿宋" w:hAnsi="仿宋" w:eastAsia="仿宋" w:cs="仿宋"/>
                          <w:spacing w:val="-4"/>
                          <w:sz w:val="21"/>
                          <w:szCs w:val="21"/>
                        </w:rPr>
                        <w:t xml:space="preserve">项目名称：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rPr>
                        <w:t xml:space="preserve">转出方：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rPr>
                        <w:t>受让方：</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汇入账号</w:t>
                      </w:r>
                      <w:r>
                        <w:rPr>
                          <w:rFonts w:hint="eastAsia" w:ascii="仿宋" w:hAnsi="仿宋" w:eastAsia="仿宋" w:cs="仿宋"/>
                          <w:sz w:val="21"/>
                          <w:szCs w:val="21"/>
                        </w:rPr>
                        <w:t xml:space="preserve">户名： </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汇入</w:t>
                      </w:r>
                      <w:r>
                        <w:rPr>
                          <w:rFonts w:hint="eastAsia" w:ascii="仿宋" w:hAnsi="仿宋" w:eastAsia="仿宋" w:cs="仿宋"/>
                          <w:sz w:val="21"/>
                          <w:szCs w:val="21"/>
                        </w:rPr>
                        <w:t>账号：</w:t>
                      </w:r>
                    </w:p>
                    <w:p>
                      <w:pPr>
                        <w:keepNext w:val="0"/>
                        <w:keepLines w:val="0"/>
                        <w:pageBreakBefore w:val="0"/>
                        <w:widowControl w:val="0"/>
                        <w:kinsoku/>
                        <w:wordWrap/>
                        <w:overflowPunct/>
                        <w:topLinePunct w:val="0"/>
                        <w:autoSpaceDE/>
                        <w:autoSpaceDN/>
                        <w:bidi w:val="0"/>
                        <w:adjustRightInd/>
                        <w:snapToGrid/>
                        <w:spacing w:line="360" w:lineRule="auto"/>
                        <w:ind w:left="320" w:leftChars="100" w:right="0" w:firstLine="0" w:firstLineChars="0"/>
                        <w:textAlignment w:val="auto"/>
                        <w:rPr>
                          <w:rFonts w:ascii="Times New Roman" w:hAnsi="Times New Roman" w:eastAsia="宋体" w:cs="Times New Roman"/>
                          <w:sz w:val="21"/>
                          <w:szCs w:val="21"/>
                        </w:rPr>
                      </w:pPr>
                      <w:r>
                        <w:rPr>
                          <w:rFonts w:ascii="Times New Roman" w:hAnsi="Times New Roman" w:eastAsia="宋体" w:cs="Times New Roman"/>
                          <w:sz w:val="21"/>
                          <w:szCs w:val="21"/>
                        </w:rPr>
                        <w:t>开户银行：</w:t>
                      </w:r>
                    </w:p>
                    <w:p>
                      <w:pPr>
                        <w:widowControl w:val="0"/>
                        <w:snapToGrid w:val="0"/>
                        <w:jc w:val="left"/>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txbxContent>
                </v:textbox>
                <w10:wrap type="topAndBottom"/>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left="0" w:firstLine="482" w:firstLineChars="200"/>
        <w:textAlignment w:val="auto"/>
        <w:rPr>
          <w:rFonts w:ascii="宋体" w:hAnsi="宋体" w:eastAsia="宋体" w:cs="Times New Roman"/>
          <w:b/>
          <w:bCs w:val="0"/>
          <w:sz w:val="24"/>
          <w:szCs w:val="24"/>
        </w:rPr>
      </w:pPr>
      <w:r>
        <w:rPr>
          <w:rFonts w:ascii="宋体" w:hAnsi="宋体" w:eastAsia="宋体" w:cs="Times New Roman"/>
          <w:b/>
          <w:bCs w:val="0"/>
          <w:sz w:val="24"/>
          <w:szCs w:val="24"/>
        </w:rPr>
        <w:t>结算明细：</w:t>
      </w:r>
    </w:p>
    <w:p>
      <w:pPr>
        <w:keepNext w:val="0"/>
        <w:keepLines w:val="0"/>
        <w:pageBreakBefore w:val="0"/>
        <w:widowControl w:val="0"/>
        <w:tabs>
          <w:tab w:val="left" w:pos="623"/>
          <w:tab w:val="left" w:pos="7581"/>
        </w:tabs>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lang w:eastAsia="zh-CN"/>
        </w:rPr>
      </w:pPr>
      <w:bookmarkStart w:id="6" w:name="_Toc926"/>
      <w:r>
        <w:rPr>
          <w:rFonts w:hint="eastAsia" w:ascii="仿宋" w:hAnsi="仿宋" w:eastAsia="仿宋" w:cs="仿宋"/>
          <w:sz w:val="24"/>
          <w:szCs w:val="24"/>
        </w:rPr>
        <w:t>一、贵方交纳的保证金人民币（大写）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（小写）</w:t>
      </w:r>
      <w:bookmarkEnd w:id="6"/>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元已转为部分产权交易价款</w:t>
      </w:r>
      <w:r>
        <w:rPr>
          <w:rFonts w:hint="eastAsia" w:ascii="仿宋" w:hAnsi="仿宋" w:eastAsia="仿宋" w:cs="仿宋"/>
          <w:sz w:val="24"/>
          <w:szCs w:val="24"/>
          <w:lang w:eastAsia="zh-CN"/>
        </w:rPr>
        <w:t>。</w:t>
      </w:r>
    </w:p>
    <w:p>
      <w:pPr>
        <w:keepNext w:val="0"/>
        <w:keepLines w:val="0"/>
        <w:pageBreakBefore w:val="0"/>
        <w:widowControl w:val="0"/>
        <w:tabs>
          <w:tab w:val="left" w:pos="623"/>
          <w:tab w:val="left" w:pos="7581"/>
        </w:tabs>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rPr>
      </w:pPr>
      <w:bookmarkStart w:id="7" w:name="_Toc7520"/>
      <w:r>
        <w:rPr>
          <w:rFonts w:hint="eastAsia" w:ascii="仿宋" w:hAnsi="仿宋" w:eastAsia="仿宋" w:cs="仿宋"/>
          <w:sz w:val="24"/>
          <w:szCs w:val="24"/>
        </w:rPr>
        <w:t>二、按贵方与出让方签定的合同约定产权交易价款的支付方式采取以下的第</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种支付方式：</w:t>
      </w:r>
      <w:bookmarkEnd w:id="7"/>
    </w:p>
    <w:p>
      <w:pPr>
        <w:keepNext w:val="0"/>
        <w:keepLines w:val="0"/>
        <w:pageBreakBefore w:val="0"/>
        <w:widowControl w:val="0"/>
        <w:tabs>
          <w:tab w:val="left" w:pos="623"/>
          <w:tab w:val="left" w:pos="7640"/>
        </w:tabs>
        <w:kinsoku/>
        <w:wordWrap/>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1、一次性支付：人民币（大写）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p>
    <w:p>
      <w:pPr>
        <w:keepNext w:val="0"/>
        <w:keepLines w:val="0"/>
        <w:pageBreakBefore w:val="0"/>
        <w:widowControl w:val="0"/>
        <w:tabs>
          <w:tab w:val="left" w:pos="623"/>
          <w:tab w:val="left" w:pos="7640"/>
        </w:tabs>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2、按年度支付：第一年支付人民币（大写）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p>
    <w:p>
      <w:pPr>
        <w:keepNext w:val="0"/>
        <w:keepLines w:val="0"/>
        <w:pageBreakBefore w:val="0"/>
        <w:widowControl w:val="0"/>
        <w:tabs>
          <w:tab w:val="left" w:pos="623"/>
          <w:tab w:val="left" w:pos="7581"/>
        </w:tabs>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3、按期支付：第一期人民币（大写）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p>
    <w:p>
      <w:pPr>
        <w:keepNext w:val="0"/>
        <w:keepLines w:val="0"/>
        <w:pageBreakBefore w:val="0"/>
        <w:widowControl w:val="0"/>
        <w:tabs>
          <w:tab w:val="left" w:pos="623"/>
          <w:tab w:val="left" w:pos="7581"/>
        </w:tabs>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rPr>
      </w:pPr>
      <w:bookmarkStart w:id="8" w:name="_Toc21160"/>
      <w:r>
        <w:rPr>
          <w:rFonts w:hint="eastAsia" w:ascii="仿宋" w:hAnsi="仿宋" w:eastAsia="仿宋" w:cs="仿宋"/>
          <w:sz w:val="24"/>
          <w:szCs w:val="24"/>
        </w:rPr>
        <w:t>三、农村产权交易中心交易及鉴证服务费计人民币（大写</w:t>
      </w:r>
      <w:bookmarkEnd w:id="8"/>
      <w:r>
        <w:rPr>
          <w:rFonts w:hint="eastAsia" w:ascii="仿宋" w:hAnsi="仿宋" w:eastAsia="仿宋" w:cs="仿宋"/>
          <w:sz w:val="24"/>
          <w:szCs w:val="24"/>
          <w:lang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cs="仿宋"/>
          <w:sz w:val="24"/>
          <w:szCs w:val="24"/>
          <w:u w:val="single"/>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p>
    <w:p>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以上“二三”款项合计减去“一”款项。</w:t>
      </w:r>
    </w:p>
    <w:p>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特此通知。</w:t>
      </w:r>
    </w:p>
    <w:p>
      <w:pPr>
        <w:tabs>
          <w:tab w:val="left" w:pos="6839"/>
          <w:tab w:val="left" w:pos="7799"/>
        </w:tabs>
        <w:adjustRightInd/>
        <w:snapToGrid/>
        <w:spacing w:before="81" w:line="240" w:lineRule="auto"/>
        <w:ind w:right="259"/>
        <w:jc w:val="right"/>
        <w:rPr>
          <w:rFonts w:hint="eastAsia" w:ascii="仿宋" w:hAnsi="仿宋" w:eastAsia="仿宋" w:cs="仿宋"/>
          <w:sz w:val="24"/>
          <w:szCs w:val="24"/>
          <w:lang w:val="en-US" w:eastAsia="zh-CN"/>
        </w:rPr>
      </w:pPr>
      <w:r>
        <w:rPr>
          <w:rFonts w:hint="eastAsia" w:ascii="仿宋" w:hAnsi="仿宋" w:cs="仿宋"/>
          <w:sz w:val="24"/>
          <w:szCs w:val="24"/>
          <w:lang w:eastAsia="zh-CN"/>
        </w:rPr>
        <w:t>张家界市</w:t>
      </w:r>
      <w:r>
        <w:rPr>
          <w:rFonts w:hint="eastAsia" w:ascii="仿宋" w:hAnsi="仿宋" w:eastAsia="仿宋" w:cs="仿宋"/>
          <w:sz w:val="24"/>
          <w:szCs w:val="24"/>
        </w:rPr>
        <w:t>农村产权交易中</w:t>
      </w:r>
      <w:r>
        <w:rPr>
          <w:rFonts w:hint="eastAsia" w:ascii="仿宋" w:hAnsi="仿宋" w:eastAsia="仿宋" w:cs="仿宋"/>
          <w:spacing w:val="-19"/>
          <w:sz w:val="24"/>
          <w:szCs w:val="24"/>
        </w:rPr>
        <w:t>心</w:t>
      </w:r>
      <w:r>
        <w:rPr>
          <w:rFonts w:hint="eastAsia" w:ascii="仿宋" w:hAnsi="仿宋" w:eastAsia="仿宋" w:cs="仿宋"/>
          <w:sz w:val="24"/>
          <w:szCs w:val="24"/>
          <w:lang w:val="en-US" w:eastAsia="zh-CN"/>
        </w:rPr>
        <w:t>签章</w:t>
      </w:r>
    </w:p>
    <w:p>
      <w:pPr>
        <w:tabs>
          <w:tab w:val="left" w:pos="6839"/>
          <w:tab w:val="left" w:pos="7799"/>
        </w:tabs>
        <w:adjustRightInd/>
        <w:snapToGrid/>
        <w:spacing w:before="81" w:line="240" w:lineRule="auto"/>
        <w:ind w:right="259"/>
        <w:jc w:val="right"/>
        <w:rPr>
          <w:rFonts w:hint="eastAsia" w:ascii="仿宋" w:hAnsi="仿宋" w:eastAsia="仿宋" w:cs="仿宋"/>
          <w:sz w:val="24"/>
          <w:szCs w:val="24"/>
        </w:rPr>
      </w:pPr>
      <w:r>
        <w:rPr>
          <w:rFonts w:hint="eastAsia" w:ascii="仿宋" w:hAnsi="仿宋" w:eastAsia="仿宋" w:cs="仿宋"/>
          <w:sz w:val="24"/>
          <w:szCs w:val="24"/>
        </w:rPr>
        <w:t>年</w:t>
      </w:r>
      <w:r>
        <w:rPr>
          <w:rFonts w:hint="eastAsia" w:ascii="仿宋" w:hAnsi="仿宋" w:cs="仿宋"/>
          <w:sz w:val="24"/>
          <w:szCs w:val="24"/>
          <w:lang w:val="en-US"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月</w:t>
      </w:r>
      <w:r>
        <w:rPr>
          <w:rFonts w:hint="eastAsia" w:ascii="仿宋" w:hAnsi="仿宋" w:eastAsia="仿宋" w:cs="仿宋"/>
          <w:sz w:val="24"/>
          <w:szCs w:val="24"/>
          <w:lang w:val="en-US" w:eastAsia="zh-CN"/>
        </w:rPr>
        <w:t xml:space="preserve">  </w:t>
      </w:r>
      <w:r>
        <w:rPr>
          <w:rFonts w:hint="eastAsia" w:ascii="仿宋" w:hAnsi="仿宋" w:cs="仿宋"/>
          <w:sz w:val="24"/>
          <w:szCs w:val="24"/>
          <w:lang w:val="en-US" w:eastAsia="zh-CN"/>
        </w:rPr>
        <w:t xml:space="preserve">  </w:t>
      </w:r>
      <w:r>
        <w:rPr>
          <w:rFonts w:hint="eastAsia" w:ascii="仿宋" w:hAnsi="仿宋" w:eastAsia="仿宋" w:cs="仿宋"/>
          <w:sz w:val="24"/>
          <w:szCs w:val="24"/>
        </w:rPr>
        <w:t>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0MGM2YzRhMzA1MDNiNmNkNTk2NDdjZjM1YTEyYzUifQ=="/>
  </w:docVars>
  <w:rsids>
    <w:rsidRoot w:val="00000000"/>
    <w:rsid w:val="0A9C1055"/>
    <w:rsid w:val="0DEF7525"/>
    <w:rsid w:val="15BB7BE5"/>
    <w:rsid w:val="17A71BF3"/>
    <w:rsid w:val="24A46B8C"/>
    <w:rsid w:val="27B16DAB"/>
    <w:rsid w:val="287E1D08"/>
    <w:rsid w:val="2BCA10C0"/>
    <w:rsid w:val="34761270"/>
    <w:rsid w:val="35BD4C12"/>
    <w:rsid w:val="3D7C4808"/>
    <w:rsid w:val="45433312"/>
    <w:rsid w:val="46C305AC"/>
    <w:rsid w:val="47E57C0C"/>
    <w:rsid w:val="55033376"/>
    <w:rsid w:val="56156D66"/>
    <w:rsid w:val="716D5CD8"/>
    <w:rsid w:val="71935C0E"/>
    <w:rsid w:val="7F56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3">
    <w:name w:val="heading 1"/>
    <w:basedOn w:val="1"/>
    <w:next w:val="1"/>
    <w:link w:val="13"/>
    <w:qFormat/>
    <w:uiPriority w:val="0"/>
    <w:pPr>
      <w:keepNext/>
      <w:keepLines/>
      <w:spacing w:line="360" w:lineRule="auto"/>
      <w:ind w:firstLine="0" w:firstLineChars="0"/>
      <w:jc w:val="center"/>
      <w:outlineLvl w:val="0"/>
    </w:pPr>
    <w:rPr>
      <w:rFonts w:ascii="Times New Roman" w:hAnsi="Times New Roman" w:eastAsia="方正小标宋简体" w:cs="Times New Roman"/>
      <w:b/>
      <w:sz w:val="36"/>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 w:type="paragraph" w:styleId="4">
    <w:name w:val="Body Text"/>
    <w:basedOn w:val="1"/>
    <w:qFormat/>
    <w:uiPriority w:val="0"/>
    <w:pPr>
      <w:adjustRightInd w:val="0"/>
      <w:snapToGrid w:val="0"/>
      <w:spacing w:line="360" w:lineRule="auto"/>
      <w:ind w:left="0" w:firstLine="1041" w:firstLineChars="200"/>
    </w:pPr>
    <w:rPr>
      <w:rFonts w:ascii="宋体" w:hAnsi="宋体" w:eastAsia="仿宋" w:cs="宋体"/>
      <w:sz w:val="28"/>
      <w:szCs w:val="32"/>
      <w:lang w:val="zh-CN" w:bidi="zh-CN"/>
    </w:rPr>
  </w:style>
  <w:style w:type="paragraph" w:styleId="5">
    <w:name w:val="Body Text Indent"/>
    <w:basedOn w:val="1"/>
    <w:unhideWhenUsed/>
    <w:qFormat/>
    <w:uiPriority w:val="99"/>
    <w:pPr>
      <w:spacing w:after="120"/>
      <w:ind w:left="420" w:leftChars="200"/>
    </w:pPr>
  </w:style>
  <w:style w:type="paragraph" w:styleId="6">
    <w:name w:val="Body Text First Indent 2"/>
    <w:basedOn w:val="5"/>
    <w:qFormat/>
    <w:uiPriority w:val="0"/>
    <w:pPr>
      <w:ind w:firstLine="420" w:firstLineChars="200"/>
    </w:pPr>
    <w:rPr>
      <w:rFonts w:ascii="Calibri" w:hAnsi="Calibri" w:eastAsia="宋体" w:cs="Times New Roman"/>
      <w:sz w:val="28"/>
      <w:szCs w:val="24"/>
    </w:rPr>
  </w:style>
  <w:style w:type="table" w:styleId="8">
    <w:name w:val="Table Grid"/>
    <w:basedOn w:val="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Body text|1"/>
    <w:basedOn w:val="1"/>
    <w:qFormat/>
    <w:uiPriority w:val="0"/>
    <w:pPr>
      <w:spacing w:line="316" w:lineRule="auto"/>
      <w:ind w:firstLine="400"/>
      <w:jc w:val="left"/>
    </w:pPr>
    <w:rPr>
      <w:rFonts w:ascii="MingLiU" w:hAnsi="MingLiU" w:eastAsia="MingLiU" w:cs="MingLiU"/>
      <w:color w:val="3F3C4A"/>
      <w:kern w:val="0"/>
      <w:sz w:val="19"/>
      <w:szCs w:val="19"/>
      <w:lang w:val="zh-TW" w:eastAsia="zh-TW" w:bidi="zh-TW"/>
    </w:rPr>
  </w:style>
  <w:style w:type="paragraph" w:customStyle="1" w:styleId="11">
    <w:name w:val="Table caption|1"/>
    <w:basedOn w:val="1"/>
    <w:qFormat/>
    <w:uiPriority w:val="0"/>
    <w:pPr>
      <w:spacing w:after="60"/>
      <w:jc w:val="left"/>
    </w:pPr>
    <w:rPr>
      <w:rFonts w:ascii="MingLiU" w:hAnsi="MingLiU" w:eastAsia="MingLiU" w:cs="MingLiU"/>
      <w:color w:val="3F3C4A"/>
      <w:kern w:val="0"/>
      <w:sz w:val="19"/>
      <w:szCs w:val="19"/>
      <w:lang w:val="zh-TW" w:eastAsia="zh-TW" w:bidi="zh-TW"/>
    </w:rPr>
  </w:style>
  <w:style w:type="character" w:customStyle="1" w:styleId="12">
    <w:name w:val="标题 1 字符"/>
    <w:link w:val="3"/>
    <w:qFormat/>
    <w:uiPriority w:val="0"/>
    <w:rPr>
      <w:rFonts w:ascii="Times New Roman" w:hAnsi="Times New Roman" w:eastAsia="方正小标宋简体" w:cs="Times New Roman"/>
      <w:b/>
      <w:sz w:val="36"/>
      <w:szCs w:val="20"/>
    </w:rPr>
  </w:style>
  <w:style w:type="character" w:customStyle="1" w:styleId="13">
    <w:name w:val="标题 1 Char"/>
    <w:link w:val="3"/>
    <w:qFormat/>
    <w:uiPriority w:val="0"/>
    <w:rPr>
      <w:rFonts w:ascii="Times New Roman" w:hAnsi="Times New Roman" w:eastAsia="方正小标宋简体" w:cs="Times New Roman"/>
      <w:b/>
      <w:sz w:val="36"/>
      <w:szCs w:val="2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238</Words>
  <Characters>238</Characters>
  <Lines>0</Lines>
  <Paragraphs>0</Paragraphs>
  <TotalTime>0</TotalTime>
  <ScaleCrop>false</ScaleCrop>
  <LinksUpToDate>false</LinksUpToDate>
  <CharactersWithSpaces>422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2022-12-05T08:05:00Z</dcterms:created>
  <dc:creator>Administrator</dc:creator>
  <cp:lastModifiedBy>Nicole康康</cp:lastModifiedBy>
  <dcterms:modified xsi:type="dcterms:W3CDTF">2023-11-28T08:57:38Z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280C48BE19EB46F1812C5B93F393674F_13</vt:lpwstr>
  </property>
</Properties>
</file>