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51B07">
      <w:pPr>
        <w:rPr>
          <w:rFonts w:ascii="Times New Roman" w:hAnsi="Times New Roman" w:eastAsia="仿宋_GB2312" w:cs="Times New Roman"/>
          <w:kern w:val="0"/>
          <w:sz w:val="32"/>
          <w:szCs w:val="32"/>
          <w:lang w:bidi="ar"/>
        </w:rPr>
      </w:pPr>
      <w:bookmarkStart w:id="0" w:name="_Toc182"/>
    </w:p>
    <w:p w14:paraId="51AA9982">
      <w:pPr>
        <w:rPr>
          <w:rFonts w:ascii="Times New Roman" w:hAnsi="Times New Roman" w:eastAsia="仿宋_GB2312" w:cs="Times New Roman"/>
          <w:kern w:val="0"/>
          <w:sz w:val="32"/>
          <w:szCs w:val="32"/>
          <w:lang w:bidi="ar"/>
        </w:rPr>
      </w:pPr>
    </w:p>
    <w:p w14:paraId="18CFF263">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业</w:t>
      </w:r>
      <w:bookmarkEnd w:id="0"/>
      <w:bookmarkStart w:id="1" w:name="_Toc23825"/>
    </w:p>
    <w:p w14:paraId="7C92717D">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务</w:t>
      </w:r>
      <w:bookmarkEnd w:id="1"/>
      <w:bookmarkStart w:id="2" w:name="_Toc3421"/>
    </w:p>
    <w:p w14:paraId="1918CB16">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制</w:t>
      </w:r>
      <w:bookmarkEnd w:id="2"/>
      <w:bookmarkStart w:id="3" w:name="_Toc2581"/>
    </w:p>
    <w:p w14:paraId="6733DC70">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度</w:t>
      </w:r>
      <w:bookmarkEnd w:id="3"/>
    </w:p>
    <w:p w14:paraId="4B9C9F89">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汇</w:t>
      </w:r>
      <w:bookmarkStart w:id="4" w:name="_Toc4615"/>
    </w:p>
    <w:p w14:paraId="52A1255B">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编</w:t>
      </w:r>
      <w:bookmarkEnd w:id="4"/>
    </w:p>
    <w:p w14:paraId="0B23050E">
      <w:pPr>
        <w:pStyle w:val="13"/>
        <w:shd w:val="clear" w:color="auto" w:fill="FFFFFF"/>
        <w:tabs>
          <w:tab w:val="left" w:pos="320"/>
          <w:tab w:val="center" w:pos="4482"/>
        </w:tabs>
        <w:spacing w:beforeAutospacing="0" w:afterAutospacing="0"/>
        <w:rPr>
          <w:rStyle w:val="18"/>
          <w:rFonts w:ascii="宋体" w:hAnsi="宋体" w:eastAsia="宋体" w:cs="宋体"/>
          <w:b w:val="0"/>
          <w:bCs/>
          <w:color w:val="000000" w:themeColor="text1"/>
          <w:sz w:val="56"/>
          <w:szCs w:val="56"/>
          <w:shd w:val="clear" w:color="auto" w:fill="FFFFFF"/>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9859A43">
      <w:pPr>
        <w:pStyle w:val="13"/>
        <w:shd w:val="clear" w:color="auto" w:fill="FFFFFF"/>
        <w:tabs>
          <w:tab w:val="left" w:pos="320"/>
          <w:tab w:val="center" w:pos="4482"/>
        </w:tabs>
        <w:spacing w:beforeAutospacing="0" w:afterAutospacing="0"/>
        <w:rPr>
          <w:rStyle w:val="18"/>
          <w:rFonts w:ascii="宋体" w:hAnsi="宋体" w:eastAsia="宋体" w:cs="宋体"/>
          <w:b w:val="0"/>
          <w:bCs/>
          <w:color w:val="000000" w:themeColor="text1"/>
          <w:sz w:val="56"/>
          <w:szCs w:val="56"/>
          <w:shd w:val="clear" w:color="auto" w:fill="FFFFFF"/>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757BF4AC">
      <w:pPr>
        <w:pStyle w:val="13"/>
        <w:shd w:val="clear" w:color="auto" w:fill="FFFFFF"/>
        <w:tabs>
          <w:tab w:val="left" w:pos="320"/>
          <w:tab w:val="center" w:pos="4482"/>
        </w:tabs>
        <w:spacing w:beforeAutospacing="0" w:afterAutospacing="0"/>
        <w:rPr>
          <w:rStyle w:val="18"/>
          <w:rFonts w:ascii="宋体" w:hAnsi="宋体" w:eastAsia="宋体" w:cs="宋体"/>
          <w:b w:val="0"/>
          <w:bCs/>
          <w:color w:val="000000" w:themeColor="text1"/>
          <w:sz w:val="56"/>
          <w:szCs w:val="56"/>
          <w:shd w:val="clear" w:color="auto" w:fill="FFFFFF"/>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2F665FC0">
      <w:pPr>
        <w:pStyle w:val="13"/>
        <w:shd w:val="clear" w:color="auto" w:fill="FFFFFF"/>
        <w:tabs>
          <w:tab w:val="left" w:pos="320"/>
          <w:tab w:val="center" w:pos="4482"/>
        </w:tabs>
        <w:spacing w:beforeAutospacing="0" w:afterAutospacing="0"/>
        <w:rPr>
          <w:rStyle w:val="18"/>
          <w:rFonts w:ascii="宋体" w:hAnsi="宋体" w:eastAsia="宋体" w:cs="宋体"/>
          <w:b w:val="0"/>
          <w:bCs/>
          <w:color w:val="000000" w:themeColor="text1"/>
          <w:sz w:val="56"/>
          <w:szCs w:val="56"/>
          <w:shd w:val="clear" w:color="auto" w:fill="FFFFFF"/>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5740692">
      <w:pPr>
        <w:widowControl/>
        <w:jc w:val="center"/>
        <w:rPr>
          <w:rFonts w:ascii="Times New Roman" w:hAnsi="Times New Roman" w:eastAsia="黑体" w:cs="Times New Roman"/>
          <w:kern w:val="0"/>
          <w:sz w:val="32"/>
          <w:szCs w:val="32"/>
          <w:lang w:bidi="ar"/>
        </w:rPr>
      </w:pPr>
      <w:bookmarkStart w:id="5" w:name="_Toc19222"/>
      <w:r>
        <w:rPr>
          <w:rFonts w:hint="eastAsia" w:ascii="Times New Roman" w:hAnsi="Times New Roman" w:eastAsia="黑体" w:cs="Times New Roman"/>
          <w:kern w:val="0"/>
          <w:sz w:val="32"/>
          <w:szCs w:val="32"/>
          <w:lang w:bidi="ar"/>
        </w:rPr>
        <w:t>石门县农村产权交易中心</w:t>
      </w:r>
      <w:bookmarkEnd w:id="5"/>
    </w:p>
    <w:p w14:paraId="4F2CBCE5">
      <w:pPr>
        <w:widowControl/>
        <w:jc w:val="center"/>
        <w:rPr>
          <w:rFonts w:ascii="Times New Roman" w:hAnsi="Times New Roman" w:eastAsia="黑体" w:cs="Times New Roman"/>
          <w:kern w:val="0"/>
          <w:sz w:val="32"/>
          <w:szCs w:val="32"/>
          <w:lang w:bidi="ar"/>
        </w:rPr>
      </w:pPr>
      <w:r>
        <w:rPr>
          <w:rFonts w:hint="eastAsia" w:ascii="Times New Roman" w:hAnsi="Times New Roman" w:eastAsia="黑体" w:cs="Times New Roman"/>
          <w:kern w:val="0"/>
          <w:sz w:val="32"/>
          <w:szCs w:val="32"/>
          <w:lang w:bidi="ar"/>
        </w:rPr>
        <w:t>2025年</w:t>
      </w:r>
    </w:p>
    <w:p w14:paraId="02577D54">
      <w:pPr>
        <w:pStyle w:val="13"/>
        <w:shd w:val="clear" w:color="auto" w:fill="FFFFFF"/>
        <w:spacing w:beforeAutospacing="0" w:afterAutospacing="0"/>
        <w:jc w:val="center"/>
        <w:rPr>
          <w:rStyle w:val="18"/>
          <w:rFonts w:hint="eastAsia" w:ascii="PingFangSC-Regular" w:hAnsi="PingFangSC-Regular" w:eastAsia="宋体" w:cs="PingFangSC-Regular"/>
          <w:color w:val="333333"/>
          <w:sz w:val="27"/>
          <w:szCs w:val="27"/>
          <w:shd w:val="clear" w:color="auto" w:fill="FFFFFF"/>
        </w:rPr>
        <w:sectPr>
          <w:pgSz w:w="11906" w:h="16838"/>
          <w:pgMar w:top="1440" w:right="1800" w:bottom="1440" w:left="1800" w:header="1491" w:footer="2232" w:gutter="0"/>
          <w:cols w:space="425" w:num="1"/>
          <w:titlePg/>
          <w:docGrid w:type="lines" w:linePitch="312" w:charSpace="0"/>
        </w:sectPr>
      </w:pPr>
      <w:r>
        <w:rPr>
          <w:sz w:val="27"/>
        </w:rPr>
        <mc:AlternateContent>
          <mc:Choice Requires="wps">
            <w:drawing>
              <wp:anchor distT="0" distB="0" distL="114300" distR="114300" simplePos="0" relativeHeight="251660288" behindDoc="0" locked="0" layoutInCell="1" allowOverlap="1">
                <wp:simplePos x="0" y="0"/>
                <wp:positionH relativeFrom="column">
                  <wp:posOffset>2200910</wp:posOffset>
                </wp:positionH>
                <wp:positionV relativeFrom="paragraph">
                  <wp:posOffset>300990</wp:posOffset>
                </wp:positionV>
                <wp:extent cx="1828800" cy="1828800"/>
                <wp:effectExtent l="0" t="0" r="0" b="0"/>
                <wp:wrapSquare wrapText="bothSides"/>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A1A8F"/>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73.3pt;margin-top:23.7pt;height:144pt;width:144pt;mso-wrap-distance-bottom:0pt;mso-wrap-distance-left:9pt;mso-wrap-distance-right:9pt;mso-wrap-distance-top:0pt;mso-wrap-style:none;z-index:251660288;mso-width-relative:page;mso-height-relative:page;" filled="f" stroked="f" coordsize="21600,21600" o:gfxdata="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I11K32AAAAAoBAAAPAAAAAAAAAAEAIAAAACIAAABkcnMvZG93bnJl&#10;di54bWxQSwECFAAUAAAACACHTuJApXEPuDYCAABlBAAADgAAAAAAAAABACAAAAAnAQAAZHJzL2Uy&#10;b0RvYy54bWxQSwUGAAAAAAYABgBZAQAAzwUAAAAA&#10;">
                <v:fill on="f" focussize="0,0"/>
                <v:stroke on="f" weight="0.5pt"/>
                <v:imagedata o:title=""/>
                <o:lock v:ext="edit" aspectratio="f"/>
                <v:textbox style="mso-fit-shape-to-text:t;">
                  <w:txbxContent>
                    <w:p w14:paraId="3C8A1A8F"/>
                  </w:txbxContent>
                </v:textbox>
                <w10:wrap type="square"/>
              </v:shape>
            </w:pict>
          </mc:Fallback>
        </mc:AlternateContent>
      </w:r>
    </w:p>
    <w:p w14:paraId="0FD9D786">
      <w:pPr>
        <w:widowControl/>
        <w:spacing w:line="560" w:lineRule="exact"/>
        <w:jc w:val="center"/>
        <w:rPr>
          <w:rFonts w:hint="eastAsia" w:ascii="___WRD_EMBED_SUB_45" w:hAnsi="___WRD_EMBED_SUB_45" w:eastAsia="___WRD_EMBED_SUB_45" w:cs="___WRD_EMBED_SUB_45"/>
          <w:sz w:val="28"/>
          <w:szCs w:val="28"/>
        </w:rPr>
      </w:pPr>
      <w:r>
        <w:rPr>
          <w:rFonts w:hint="eastAsia" w:ascii="楷体_GB2312" w:hAnsi="楷体_GB2312" w:eastAsia="楷体_GB2312" w:cs="楷体_GB2312"/>
          <w:b/>
          <w:bCs/>
          <w:sz w:val="44"/>
          <w:szCs w:val="44"/>
          <w:lang w:bidi="ar"/>
        </w:rPr>
        <w:t>目  录</w:t>
      </w:r>
    </w:p>
    <w:p w14:paraId="332DF7FD">
      <w:pPr>
        <w:jc w:val="distribute"/>
        <w:rPr>
          <w:rFonts w:ascii="仿宋_GB2312" w:hAnsi="仿宋_GB2312" w:eastAsia="仿宋_GB2312" w:cs="仿宋_GB2312"/>
          <w:sz w:val="28"/>
          <w:szCs w:val="28"/>
        </w:rPr>
      </w:pPr>
      <w:r>
        <w:rPr>
          <w:rFonts w:hint="eastAsia" w:ascii="___WRD_EMBED_SUB_45" w:hAnsi="___WRD_EMBED_SUB_45" w:eastAsia="___WRD_EMBED_SUB_45" w:cs="___WRD_EMBED_SUB_45"/>
          <w:sz w:val="28"/>
          <w:szCs w:val="28"/>
        </w:rPr>
        <w:t>石门县</w:t>
      </w:r>
      <w:r>
        <w:rPr>
          <w:rFonts w:hint="eastAsia" w:ascii="仿宋_GB2312" w:hAnsi="仿宋_GB2312" w:eastAsia="仿宋_GB2312" w:cs="仿宋_GB2312"/>
          <w:sz w:val="28"/>
          <w:szCs w:val="28"/>
        </w:rPr>
        <w:t>农村产权交易中心 农村产权流转交易规则（试行）…………1</w:t>
      </w:r>
    </w:p>
    <w:p w14:paraId="058F6341">
      <w:pPr>
        <w:jc w:val="distribute"/>
        <w:rPr>
          <w:rFonts w:hint="default" w:ascii="仿宋_GB2312" w:hAnsi="仿宋_GB2312" w:eastAsia="仿宋_GB2312" w:cs="仿宋_GB2312"/>
          <w:spacing w:val="-11"/>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pacing w:val="-11"/>
          <w:sz w:val="28"/>
          <w:szCs w:val="28"/>
        </w:rPr>
        <w:t>农村产权交易中心 农村承包土地经营权流转交易规则（试行）…</w:t>
      </w:r>
      <w:r>
        <w:rPr>
          <w:rFonts w:hint="eastAsia" w:ascii="仿宋_GB2312" w:hAnsi="仿宋_GB2312" w:eastAsia="仿宋_GB2312" w:cs="仿宋_GB2312"/>
          <w:spacing w:val="-11"/>
          <w:sz w:val="28"/>
          <w:szCs w:val="28"/>
          <w:lang w:val="en-US" w:eastAsia="zh-CN"/>
        </w:rPr>
        <w:t>12</w:t>
      </w:r>
    </w:p>
    <w:p w14:paraId="68DF6CE2">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林权流转交易规则（试行）……………</w:t>
      </w:r>
      <w:r>
        <w:rPr>
          <w:rFonts w:hint="eastAsia" w:ascii="仿宋_GB2312" w:hAnsi="仿宋_GB2312" w:eastAsia="仿宋_GB2312" w:cs="仿宋_GB2312"/>
          <w:sz w:val="28"/>
          <w:szCs w:val="28"/>
          <w:lang w:val="en-US" w:eastAsia="zh-CN"/>
        </w:rPr>
        <w:t>18</w:t>
      </w:r>
    </w:p>
    <w:p w14:paraId="5E6103C0">
      <w:pPr>
        <w:jc w:val="distribute"/>
        <w:rPr>
          <w:rFonts w:hint="default"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pacing w:val="-6"/>
          <w:sz w:val="28"/>
          <w:szCs w:val="28"/>
        </w:rPr>
        <w:t>农村产权交易中心 农村集体资源性资产交易规则（试行）…</w:t>
      </w:r>
      <w:r>
        <w:rPr>
          <w:rFonts w:hint="eastAsia" w:ascii="仿宋_GB2312" w:hAnsi="仿宋_GB2312" w:eastAsia="仿宋_GB2312" w:cs="仿宋_GB2312"/>
          <w:spacing w:val="-6"/>
          <w:sz w:val="28"/>
          <w:szCs w:val="28"/>
          <w:lang w:val="en-US" w:eastAsia="zh-CN"/>
        </w:rPr>
        <w:t>23</w:t>
      </w:r>
    </w:p>
    <w:p w14:paraId="4AD9BAEF">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农村经营性资产交易规则（试行）……</w:t>
      </w:r>
      <w:r>
        <w:rPr>
          <w:rFonts w:hint="eastAsia" w:ascii="仿宋_GB2312" w:hAnsi="仿宋_GB2312" w:eastAsia="仿宋_GB2312" w:cs="仿宋_GB2312"/>
          <w:sz w:val="28"/>
          <w:szCs w:val="28"/>
          <w:lang w:val="en-US" w:eastAsia="zh-CN"/>
        </w:rPr>
        <w:t>28</w:t>
      </w:r>
    </w:p>
    <w:p w14:paraId="1DE54907">
      <w:pPr>
        <w:jc w:val="distribute"/>
        <w:rPr>
          <w:rFonts w:hint="default"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pacing w:val="-6"/>
          <w:sz w:val="28"/>
          <w:szCs w:val="28"/>
        </w:rPr>
        <w:t>农村产权交易中心 农业生产设施设备流转交易规则（试行）…</w:t>
      </w:r>
      <w:r>
        <w:rPr>
          <w:rFonts w:hint="eastAsia" w:ascii="仿宋_GB2312" w:hAnsi="仿宋_GB2312" w:eastAsia="仿宋_GB2312" w:cs="仿宋_GB2312"/>
          <w:spacing w:val="-6"/>
          <w:sz w:val="28"/>
          <w:szCs w:val="28"/>
          <w:lang w:val="en-US" w:eastAsia="zh-CN"/>
        </w:rPr>
        <w:t>34</w:t>
      </w:r>
    </w:p>
    <w:p w14:paraId="002F6218">
      <w:pPr>
        <w:jc w:val="distribute"/>
        <w:rPr>
          <w:rFonts w:hint="default"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pacing w:val="-6"/>
          <w:sz w:val="28"/>
          <w:szCs w:val="28"/>
        </w:rPr>
        <w:t>农村产权交易中心 小型水利设施使用权交易规则（试行）…</w:t>
      </w:r>
      <w:r>
        <w:rPr>
          <w:rFonts w:hint="eastAsia" w:ascii="仿宋_GB2312" w:hAnsi="仿宋_GB2312" w:eastAsia="仿宋_GB2312" w:cs="仿宋_GB2312"/>
          <w:spacing w:val="-6"/>
          <w:sz w:val="28"/>
          <w:szCs w:val="28"/>
          <w:lang w:val="en-US" w:eastAsia="zh-CN"/>
        </w:rPr>
        <w:t>40</w:t>
      </w:r>
    </w:p>
    <w:p w14:paraId="34D2F050">
      <w:pPr>
        <w:jc w:val="distribute"/>
        <w:rPr>
          <w:rFonts w:hint="default" w:ascii="仿宋_GB2312" w:hAnsi="仿宋_GB2312" w:eastAsia="仿宋_GB2312" w:cs="仿宋_GB2312"/>
          <w:spacing w:val="-11"/>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pacing w:val="-11"/>
          <w:sz w:val="28"/>
          <w:szCs w:val="28"/>
        </w:rPr>
        <w:t>农村产权交易中心 农村建设项目招标与采购交易规则（试行）…</w:t>
      </w:r>
      <w:r>
        <w:rPr>
          <w:rFonts w:hint="eastAsia" w:ascii="仿宋_GB2312" w:hAnsi="仿宋_GB2312" w:eastAsia="仿宋_GB2312" w:cs="仿宋_GB2312"/>
          <w:spacing w:val="-11"/>
          <w:sz w:val="28"/>
          <w:szCs w:val="28"/>
          <w:lang w:val="en-US" w:eastAsia="zh-CN"/>
        </w:rPr>
        <w:t>46</w:t>
      </w:r>
    </w:p>
    <w:p w14:paraId="1B59EC62">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农村闲置农房出租规则（试行）………</w:t>
      </w:r>
      <w:r>
        <w:rPr>
          <w:rFonts w:hint="eastAsia" w:ascii="仿宋_GB2312" w:hAnsi="仿宋_GB2312" w:eastAsia="仿宋_GB2312" w:cs="仿宋_GB2312"/>
          <w:sz w:val="28"/>
          <w:szCs w:val="28"/>
          <w:lang w:val="en-US" w:eastAsia="zh-CN"/>
        </w:rPr>
        <w:t>56</w:t>
      </w:r>
    </w:p>
    <w:p w14:paraId="63CE19C1">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农村闲置农房转让交易规则（试行）…</w:t>
      </w:r>
      <w:r>
        <w:rPr>
          <w:rFonts w:hint="eastAsia" w:ascii="仿宋_GB2312" w:hAnsi="仿宋_GB2312" w:eastAsia="仿宋_GB2312" w:cs="仿宋_GB2312"/>
          <w:sz w:val="28"/>
          <w:szCs w:val="28"/>
          <w:lang w:val="en-US" w:eastAsia="zh-CN"/>
        </w:rPr>
        <w:t>60</w:t>
      </w:r>
    </w:p>
    <w:p w14:paraId="74BEFD1E">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受理转出申请操作细则（试行）………</w:t>
      </w:r>
      <w:r>
        <w:rPr>
          <w:rFonts w:hint="eastAsia" w:ascii="仿宋_GB2312" w:hAnsi="仿宋_GB2312" w:eastAsia="仿宋_GB2312" w:cs="仿宋_GB2312"/>
          <w:sz w:val="28"/>
          <w:szCs w:val="28"/>
          <w:lang w:val="en-US" w:eastAsia="zh-CN"/>
        </w:rPr>
        <w:t>65</w:t>
      </w:r>
    </w:p>
    <w:p w14:paraId="5E015957">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发布流转信息操作细则（试行）………</w:t>
      </w:r>
      <w:r>
        <w:rPr>
          <w:rFonts w:hint="eastAsia" w:ascii="仿宋_GB2312" w:hAnsi="仿宋_GB2312" w:eastAsia="仿宋_GB2312" w:cs="仿宋_GB2312"/>
          <w:sz w:val="28"/>
          <w:szCs w:val="28"/>
          <w:lang w:val="en-US" w:eastAsia="zh-CN"/>
        </w:rPr>
        <w:t>68</w:t>
      </w:r>
    </w:p>
    <w:p w14:paraId="74CD38BE">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登记意向受让方操作细则（试行）……</w:t>
      </w:r>
      <w:r>
        <w:rPr>
          <w:rFonts w:hint="eastAsia" w:ascii="仿宋_GB2312" w:hAnsi="仿宋_GB2312" w:eastAsia="仿宋_GB2312" w:cs="仿宋_GB2312"/>
          <w:sz w:val="28"/>
          <w:szCs w:val="28"/>
          <w:lang w:val="en-US" w:eastAsia="zh-CN"/>
        </w:rPr>
        <w:t>72</w:t>
      </w:r>
    </w:p>
    <w:p w14:paraId="0006BE93">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网络竞价操作细则（试行）……………</w:t>
      </w:r>
      <w:r>
        <w:rPr>
          <w:rFonts w:hint="eastAsia" w:ascii="仿宋_GB2312" w:hAnsi="仿宋_GB2312" w:eastAsia="仿宋_GB2312" w:cs="仿宋_GB2312"/>
          <w:sz w:val="28"/>
          <w:szCs w:val="28"/>
          <w:lang w:val="en-US" w:eastAsia="zh-CN"/>
        </w:rPr>
        <w:t>75</w:t>
      </w:r>
    </w:p>
    <w:p w14:paraId="1DC9B019">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组织交易签约操作细则（试行）………</w:t>
      </w:r>
      <w:r>
        <w:rPr>
          <w:rFonts w:hint="eastAsia" w:ascii="仿宋_GB2312" w:hAnsi="仿宋_GB2312" w:eastAsia="仿宋_GB2312" w:cs="仿宋_GB2312"/>
          <w:sz w:val="28"/>
          <w:szCs w:val="28"/>
          <w:lang w:val="en-US" w:eastAsia="zh-CN"/>
        </w:rPr>
        <w:t>80</w:t>
      </w:r>
    </w:p>
    <w:p w14:paraId="5D756661">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交易保证金操作细则（试行）…………</w:t>
      </w:r>
      <w:r>
        <w:rPr>
          <w:rFonts w:hint="eastAsia" w:ascii="仿宋_GB2312" w:hAnsi="仿宋_GB2312" w:eastAsia="仿宋_GB2312" w:cs="仿宋_GB2312"/>
          <w:sz w:val="28"/>
          <w:szCs w:val="28"/>
          <w:lang w:val="en-US" w:eastAsia="zh-CN"/>
        </w:rPr>
        <w:t>82</w:t>
      </w:r>
    </w:p>
    <w:p w14:paraId="7BE580A9">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产权交易款项结算操作细则（试行）…</w:t>
      </w:r>
      <w:r>
        <w:rPr>
          <w:rFonts w:hint="eastAsia" w:ascii="仿宋_GB2312" w:hAnsi="仿宋_GB2312" w:eastAsia="仿宋_GB2312" w:cs="仿宋_GB2312"/>
          <w:sz w:val="28"/>
          <w:szCs w:val="28"/>
          <w:lang w:val="en-US" w:eastAsia="zh-CN"/>
        </w:rPr>
        <w:t>87</w:t>
      </w:r>
    </w:p>
    <w:p w14:paraId="2E85C30A">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出具产权交易鉴证操作细则（试行）…</w:t>
      </w:r>
      <w:r>
        <w:rPr>
          <w:rFonts w:hint="eastAsia" w:ascii="仿宋_GB2312" w:hAnsi="仿宋_GB2312" w:eastAsia="仿宋_GB2312" w:cs="仿宋_GB2312"/>
          <w:sz w:val="28"/>
          <w:szCs w:val="28"/>
          <w:lang w:val="en-US" w:eastAsia="zh-CN"/>
        </w:rPr>
        <w:t>90</w:t>
      </w:r>
    </w:p>
    <w:p w14:paraId="5C9822FC">
      <w:pPr>
        <w:jc w:val="distribute"/>
        <w:rPr>
          <w:rFonts w:hint="default" w:ascii="仿宋_GB2312" w:hAnsi="仿宋_GB2312" w:eastAsia="仿宋_GB2312" w:cs="仿宋_GB2312"/>
          <w:spacing w:val="-6"/>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pacing w:val="-6"/>
          <w:sz w:val="28"/>
          <w:szCs w:val="28"/>
        </w:rPr>
        <w:t>农村产权交易中心 交易项目中止和终结操作细则（试行）…</w:t>
      </w:r>
      <w:r>
        <w:rPr>
          <w:rFonts w:hint="eastAsia" w:ascii="仿宋_GB2312" w:hAnsi="仿宋_GB2312" w:eastAsia="仿宋_GB2312" w:cs="仿宋_GB2312"/>
          <w:spacing w:val="-6"/>
          <w:sz w:val="28"/>
          <w:szCs w:val="28"/>
          <w:lang w:val="en-US" w:eastAsia="zh-CN"/>
        </w:rPr>
        <w:t>92</w:t>
      </w:r>
    </w:p>
    <w:p w14:paraId="5382FAE8">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优先受让权行使操作细则（试行）……</w:t>
      </w:r>
      <w:r>
        <w:rPr>
          <w:rFonts w:hint="eastAsia" w:ascii="仿宋_GB2312" w:hAnsi="仿宋_GB2312" w:eastAsia="仿宋_GB2312" w:cs="仿宋_GB2312"/>
          <w:sz w:val="28"/>
          <w:szCs w:val="28"/>
          <w:lang w:val="en-US" w:eastAsia="zh-CN"/>
        </w:rPr>
        <w:t>98</w:t>
      </w:r>
    </w:p>
    <w:p w14:paraId="62E07C8E">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收费管理办法（试行）…………………</w:t>
      </w:r>
      <w:r>
        <w:rPr>
          <w:rFonts w:hint="eastAsia" w:ascii="仿宋_GB2312" w:hAnsi="仿宋_GB2312" w:eastAsia="仿宋_GB2312" w:cs="仿宋_GB2312"/>
          <w:sz w:val="28"/>
          <w:szCs w:val="28"/>
          <w:lang w:val="en-US" w:eastAsia="zh-CN"/>
        </w:rPr>
        <w:t>104</w:t>
      </w:r>
    </w:p>
    <w:p w14:paraId="59175177">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风险控制管理办法（试行）……………</w:t>
      </w:r>
      <w:r>
        <w:rPr>
          <w:rFonts w:hint="eastAsia" w:ascii="仿宋_GB2312" w:hAnsi="仿宋_GB2312" w:eastAsia="仿宋_GB2312" w:cs="仿宋_GB2312"/>
          <w:sz w:val="28"/>
          <w:szCs w:val="28"/>
          <w:lang w:val="en-US" w:eastAsia="zh-CN"/>
        </w:rPr>
        <w:t>107</w:t>
      </w:r>
    </w:p>
    <w:p w14:paraId="6E9D2210">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交易资金结算管理办法（试行）………</w:t>
      </w:r>
      <w:r>
        <w:rPr>
          <w:rFonts w:hint="eastAsia" w:ascii="仿宋_GB2312" w:hAnsi="仿宋_GB2312" w:eastAsia="仿宋_GB2312" w:cs="仿宋_GB2312"/>
          <w:sz w:val="28"/>
          <w:szCs w:val="28"/>
          <w:lang w:val="en-US" w:eastAsia="zh-CN"/>
        </w:rPr>
        <w:t>114</w:t>
      </w:r>
    </w:p>
    <w:p w14:paraId="1D30A5DE">
      <w:pPr>
        <w:jc w:val="distribute"/>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pacing w:val="-11"/>
          <w:sz w:val="28"/>
          <w:szCs w:val="28"/>
        </w:rPr>
        <w:t>石</w:t>
      </w:r>
      <w:r>
        <w:rPr>
          <w:rFonts w:hint="eastAsia" w:ascii="___WRD_EMBED_SUB_45" w:hAnsi="___WRD_EMBED_SUB_45" w:eastAsia="___WRD_EMBED_SUB_45" w:cs="___WRD_EMBED_SUB_45"/>
          <w:spacing w:val="-11"/>
          <w:sz w:val="28"/>
          <w:szCs w:val="28"/>
        </w:rPr>
        <w:t>门县</w:t>
      </w:r>
      <w:r>
        <w:rPr>
          <w:rFonts w:hint="eastAsia" w:ascii="仿宋_GB2312" w:hAnsi="仿宋_GB2312" w:eastAsia="仿宋_GB2312" w:cs="仿宋_GB2312"/>
          <w:sz w:val="28"/>
          <w:szCs w:val="28"/>
        </w:rPr>
        <w:t>农村产权交易中心 业务档案管理办法（试行）……………</w:t>
      </w:r>
      <w:r>
        <w:rPr>
          <w:rFonts w:hint="eastAsia" w:ascii="仿宋_GB2312" w:hAnsi="仿宋_GB2312" w:eastAsia="仿宋_GB2312" w:cs="仿宋_GB2312"/>
          <w:sz w:val="28"/>
          <w:szCs w:val="28"/>
          <w:lang w:val="en-US" w:eastAsia="zh-CN"/>
        </w:rPr>
        <w:t>117</w:t>
      </w:r>
    </w:p>
    <w:p w14:paraId="6E57F868">
      <w:pPr>
        <w:rPr>
          <w:rFonts w:ascii="仿宋_GB2312" w:hAnsi="仿宋_GB2312" w:eastAsia="仿宋_GB2312" w:cs="仿宋_GB2312"/>
          <w:sz w:val="28"/>
          <w:szCs w:val="28"/>
        </w:rPr>
      </w:pPr>
    </w:p>
    <w:p w14:paraId="3FE1A7EA">
      <w:pPr>
        <w:pStyle w:val="13"/>
        <w:shd w:val="clear" w:color="auto" w:fill="FFFFFF"/>
        <w:spacing w:beforeAutospacing="0" w:afterAutospacing="0" w:line="560" w:lineRule="exact"/>
        <w:jc w:val="center"/>
        <w:outlineLvl w:val="0"/>
        <w:rPr>
          <w:rStyle w:val="18"/>
          <w:rFonts w:ascii="方正小标宋_GBK" w:hAnsi="方正小标宋_GBK" w:eastAsia="方正小标宋_GBK" w:cs="方正小标宋_GBK"/>
          <w:b w:val="0"/>
          <w:bCs/>
          <w:color w:val="333333"/>
          <w:sz w:val="44"/>
          <w:szCs w:val="44"/>
          <w:shd w:val="clear" w:color="auto" w:fill="FFFFFF"/>
        </w:rPr>
        <w:sectPr>
          <w:headerReference r:id="rId3" w:type="first"/>
          <w:footerReference r:id="rId5" w:type="first"/>
          <w:footerReference r:id="rId4" w:type="default"/>
          <w:pgSz w:w="11906" w:h="16838"/>
          <w:pgMar w:top="1440" w:right="1800" w:bottom="1440" w:left="1800" w:header="283" w:footer="510" w:gutter="0"/>
          <w:pgNumType w:start="1"/>
          <w:cols w:space="425" w:num="1"/>
          <w:titlePg/>
          <w:docGrid w:type="lines" w:linePitch="312" w:charSpace="0"/>
        </w:sectPr>
      </w:pPr>
      <w:bookmarkStart w:id="6" w:name="_Toc22046"/>
      <w:bookmarkStart w:id="7" w:name="_Toc11151"/>
      <w:bookmarkStart w:id="8" w:name="_Toc29785"/>
      <w:bookmarkStart w:id="9" w:name="_Toc25810"/>
      <w:bookmarkStart w:id="10" w:name="_Toc15438"/>
      <w:bookmarkStart w:id="11" w:name="_Toc28594"/>
    </w:p>
    <w:p w14:paraId="6D9DF4E0">
      <w:pPr>
        <w:pStyle w:val="13"/>
        <w:shd w:val="clear" w:color="auto" w:fill="FFFFFF"/>
        <w:spacing w:beforeAutospacing="0" w:afterAutospacing="0" w:line="560" w:lineRule="exact"/>
        <w:jc w:val="center"/>
        <w:outlineLvl w:val="0"/>
        <w:rPr>
          <w:rStyle w:val="18"/>
          <w:rFonts w:ascii="方正小标宋_GBK" w:hAnsi="方正小标宋_GBK" w:eastAsia="方正小标宋_GBK" w:cs="方正小标宋_GBK"/>
          <w:b w:val="0"/>
          <w:bCs/>
          <w:color w:val="333333"/>
          <w:sz w:val="44"/>
          <w:szCs w:val="44"/>
          <w:shd w:val="clear" w:color="auto" w:fill="FFFFFF"/>
        </w:rPr>
      </w:pPr>
      <w:r>
        <w:rPr>
          <w:rStyle w:val="18"/>
          <w:rFonts w:hint="eastAsia" w:ascii="方正小标宋_GBK" w:hAnsi="方正小标宋_GBK" w:eastAsia="方正小标宋_GBK" w:cs="方正小标宋_GBK"/>
          <w:b w:val="0"/>
          <w:bCs/>
          <w:color w:val="333333"/>
          <w:sz w:val="44"/>
          <w:szCs w:val="44"/>
          <w:shd w:val="clear" w:color="auto" w:fill="FFFFFF"/>
        </w:rPr>
        <w:t>石门县农村产权交易中心</w:t>
      </w:r>
    </w:p>
    <w:p w14:paraId="1F407A91">
      <w:pPr>
        <w:pStyle w:val="13"/>
        <w:shd w:val="clear" w:color="auto" w:fill="FFFFFF"/>
        <w:spacing w:beforeAutospacing="0" w:afterAutospacing="0" w:line="560" w:lineRule="exact"/>
        <w:jc w:val="center"/>
        <w:outlineLvl w:val="0"/>
        <w:rPr>
          <w:rStyle w:val="18"/>
          <w:rFonts w:ascii="黑体" w:hAnsi="黑体" w:eastAsia="黑体" w:cs="黑体"/>
          <w:b w:val="0"/>
          <w:bCs/>
          <w:color w:val="333333"/>
          <w:sz w:val="32"/>
          <w:szCs w:val="32"/>
          <w:shd w:val="clear" w:color="auto" w:fill="FFFFFF"/>
        </w:rPr>
      </w:pPr>
      <w:r>
        <w:rPr>
          <w:rStyle w:val="18"/>
          <w:rFonts w:hint="eastAsia" w:ascii="方正小标宋_GBK" w:hAnsi="方正小标宋_GBK" w:eastAsia="方正小标宋_GBK" w:cs="方正小标宋_GBK"/>
          <w:b w:val="0"/>
          <w:bCs/>
          <w:color w:val="333333"/>
          <w:sz w:val="44"/>
          <w:szCs w:val="44"/>
          <w:shd w:val="clear" w:color="auto" w:fill="FFFFFF"/>
        </w:rPr>
        <w:t>农村产权流转交易规则（试行）</w:t>
      </w:r>
      <w:bookmarkEnd w:id="6"/>
      <w:bookmarkEnd w:id="7"/>
      <w:bookmarkEnd w:id="8"/>
      <w:bookmarkEnd w:id="9"/>
      <w:bookmarkEnd w:id="10"/>
      <w:bookmarkEnd w:id="11"/>
      <w:bookmarkStart w:id="12" w:name="_Toc31220"/>
    </w:p>
    <w:p w14:paraId="07AAC8EC">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r>
        <w:rPr>
          <w:rStyle w:val="18"/>
          <w:rFonts w:hint="eastAsia" w:ascii="黑体" w:hAnsi="黑体" w:eastAsia="黑体" w:cs="黑体"/>
          <w:b w:val="0"/>
          <w:bCs/>
          <w:color w:val="333333"/>
          <w:sz w:val="32"/>
          <w:szCs w:val="32"/>
          <w:shd w:val="clear" w:color="auto" w:fill="FFFFFF"/>
        </w:rPr>
        <w:t>第一章 总  则</w:t>
      </w:r>
      <w:bookmarkEnd w:id="12"/>
    </w:p>
    <w:p w14:paraId="3DEABAB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农村产权交易中心（以下简称“农交中心”）进行的农村产权流转交易行为，维护农村产权流转交易中交易各方的合法权益，营造良好的交易环境，培育和发展农村产权流转交易</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场，依据《中华人民共和国农村土地承包法》《中华人民共和国民法典》《</w:t>
      </w:r>
      <w:r>
        <w:rPr>
          <w:rFonts w:hint="eastAsia" w:ascii="___WRD_EMBED_SUB_45" w:hAnsi="___WRD_EMBED_SUB_45" w:eastAsia="___WRD_EMBED_SUB_45" w:cs="___WRD_EMBED_SUB_45"/>
          <w:color w:val="333333"/>
          <w:sz w:val="32"/>
          <w:szCs w:val="32"/>
          <w:shd w:val="clear" w:color="auto" w:fill="FFFFFF"/>
        </w:rPr>
        <w:t>石门县</w:t>
      </w:r>
      <w:r>
        <w:rPr>
          <w:rFonts w:hint="eastAsia" w:ascii="仿宋_GB2312" w:hAnsi="仿宋_GB2312" w:eastAsia="仿宋_GB2312" w:cs="仿宋_GB2312"/>
          <w:color w:val="333333"/>
          <w:sz w:val="32"/>
          <w:szCs w:val="32"/>
          <w:shd w:val="clear" w:color="auto" w:fill="FFFFFF"/>
        </w:rPr>
        <w:t>农村产权流转交易</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场建设实施方案》，制定本交易规则。</w:t>
      </w:r>
    </w:p>
    <w:p w14:paraId="71099BB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在我</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从事农村产权流转交易活动的各种行为，适用本规则。</w:t>
      </w:r>
    </w:p>
    <w:p w14:paraId="18A71C1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农村产权流转交易主体是指依法参加农村产权流转交易的出让方、受让方。</w:t>
      </w:r>
    </w:p>
    <w:p w14:paraId="5DED4DC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本规则所称农村产权流转交易出让方，是指农村产权或与农村产权有关的权能拥有或享有者。农村产权转出，是出让方在履行相关决策和批准程序后，通过农交中心发布产权转出信息，公开挂牌转出农村产权的活动。</w:t>
      </w:r>
    </w:p>
    <w:p w14:paraId="73CDF10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农村产权流转交易的受让方是指具有完全民事权利能力和民事行为能力的自然人、独立享有民事权利和承担民事义务的法人或其他组织。</w:t>
      </w:r>
    </w:p>
    <w:p w14:paraId="3EA4B80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交易各方应当遵循依法、自愿、有偿、合理和公开、公平、公正的原则，严格遵守相关规则，共同维护</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场秩序，保证农村产权流转交易活动的正常进行。</w:t>
      </w:r>
    </w:p>
    <w:p w14:paraId="503451E3">
      <w:pPr>
        <w:pStyle w:val="13"/>
        <w:shd w:val="clear" w:color="auto" w:fill="FFFFFF"/>
        <w:spacing w:beforeAutospacing="0" w:afterAutospacing="0" w:line="56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下列农村产权流转交易适用本规则：</w:t>
      </w:r>
    </w:p>
    <w:p w14:paraId="0236428B">
      <w:pPr>
        <w:pStyle w:val="13"/>
        <w:shd w:val="clear" w:color="auto" w:fill="FFFFFF"/>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（一）农村承包土地经营权。是指以家庭承包方式承包的耕地、草地、养殖水面等经营权，可以采取出租、入股等方式流转交易，流转期限由流转双方在法律规定范围内协商确定。</w:t>
      </w:r>
    </w:p>
    <w:p w14:paraId="76A37023">
      <w:pPr>
        <w:pStyle w:val="13"/>
        <w:shd w:val="clear" w:color="auto" w:fill="FFFFFF"/>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（二）林权。是指集体林地经营权和林木所有权、使用权，可以采取出租、转让、入股、作价出资或合作等方式流转交易，流转期限不得超过法定期限。</w:t>
      </w:r>
    </w:p>
    <w:p w14:paraId="7711DDE8">
      <w:pPr>
        <w:pStyle w:val="13"/>
        <w:shd w:val="clear" w:color="auto" w:fill="FFFFFF"/>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四荒”使用权。是指农村集体所有的荒山、荒沟、荒丘、荒滩使用权。采取家庭承包方式取得的，按照农户承包土地经营权有关规定进行流转交易；以其他方式承包的，其承包经营权可以采取转让、出租、入股、抵押等方式流转交易。</w:t>
      </w:r>
    </w:p>
    <w:p w14:paraId="037B137B">
      <w:pPr>
        <w:pStyle w:val="13"/>
        <w:shd w:val="clear" w:color="auto" w:fill="FFFFFF"/>
        <w:spacing w:beforeAutospacing="0" w:afterAutospacing="0"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农村集体资源性资产经营权。是指农村集体机动地、未承包到户土地、草地、农田水利用地、养殖水面等经营权，可以采取出租、转让、入股、作价出资或合作等方式流转交易，但流转的具体经营内容和期限须符合相关法律法规要求。</w:t>
      </w:r>
    </w:p>
    <w:p w14:paraId="23A7157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（五）农村集体经营性资产。是指由农村集体统一经营管理的经营性资产（不含土地）的所有权或使用权，可以采取承包、租赁、出让、入股、合资、合作等方式流转交易。</w:t>
      </w:r>
    </w:p>
    <w:p w14:paraId="5BEEA65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（六）农业生产设施设备。是指农户、新型农业经营主体和农村集体等拥有的农业生产设施设备，可以采取转让、租赁、拍卖等方式流转交易。</w:t>
      </w:r>
    </w:p>
    <w:p w14:paraId="6D70D92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（七）小型水利设施使用权。是指农户、新型农业经营主体和农村集体等拥有的小型水利设施使用权，可以采取承包、租赁、转让、抵押、股份合作等方式流转交易。</w:t>
      </w:r>
    </w:p>
    <w:p w14:paraId="1D46D2A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（八）农业类知识产权。是指涉农专利、商标、版权、新品种、新技术等，可以采取转让、出租、股份合作等方式流转交易。</w:t>
      </w:r>
    </w:p>
    <w:p w14:paraId="410C40B0">
      <w:pPr>
        <w:pStyle w:val="13"/>
        <w:shd w:val="clear" w:color="auto" w:fill="FFFFFF"/>
        <w:spacing w:beforeAutospacing="0" w:afterAutospacing="0" w:line="560" w:lineRule="exact"/>
        <w:ind w:firstLine="640" w:firstLineChars="200"/>
        <w:rPr>
          <w:rStyle w:val="18"/>
          <w:rFonts w:ascii="黑体" w:hAnsi="黑体" w:eastAsia="黑体" w:cs="黑体"/>
          <w:b w:val="0"/>
          <w:bCs/>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（九）其他涉农产权。是指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农村闲置宅基地使用权和闲置住宅</w:t>
      </w:r>
      <w:r>
        <w:rPr>
          <w:rFonts w:hint="eastAsia" w:ascii="仿宋_GB2312" w:hAnsi="仿宋_GB2312" w:eastAsia="仿宋_GB2312" w:cs="仿宋_GB2312"/>
          <w:color w:val="333333"/>
          <w:sz w:val="32"/>
          <w:szCs w:val="32"/>
          <w:shd w:val="clear" w:color="auto" w:fill="FFFFFF"/>
        </w:rPr>
        <w:t>，国有农牧渔场、农业产业化企业、集体及个人投资兴办的企业等，供销合作社系统的涉农产权、资产处置等，农村建设项目、货物和服务、产业项目等涉农产权，可以采取招标、采购、出租、入股、招商和转让等方式流转交易。</w:t>
      </w:r>
    </w:p>
    <w:p w14:paraId="0E1A689F">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13" w:name="_Toc20305"/>
      <w:r>
        <w:rPr>
          <w:rStyle w:val="18"/>
          <w:rFonts w:hint="eastAsia" w:ascii="黑体" w:hAnsi="黑体" w:eastAsia="黑体" w:cs="黑体"/>
          <w:b w:val="0"/>
          <w:bCs/>
          <w:color w:val="333333"/>
          <w:sz w:val="32"/>
          <w:szCs w:val="32"/>
          <w:shd w:val="clear" w:color="auto" w:fill="FFFFFF"/>
        </w:rPr>
        <w:t>第二章 受理转出申请</w:t>
      </w:r>
      <w:bookmarkEnd w:id="13"/>
    </w:p>
    <w:p w14:paraId="262C569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出让方将相关材料提交镇（街道）农村产权交易站初审，农交中心复审（备案）后上传。</w:t>
      </w:r>
    </w:p>
    <w:p w14:paraId="0E025C2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出让方申请转出信息发布的，应向农交中心提交以下资料，提交的资料应当是原件，确无法提交原件的，应当提交由原件持有方签字、盖章的复印件：</w:t>
      </w:r>
    </w:p>
    <w:p w14:paraId="0B96560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（一）《农村产权转出申请书》。《农村产权转出申请书》由农交中心统一制订，出让方应详细填写并签署。</w:t>
      </w:r>
    </w:p>
    <w:p w14:paraId="217023A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主体资格证明材料。如为自然人的，须提供个人身份证；如为村集体经济组织的，须提供《农村集体经济组织登记证》、负责人身份证明及身份证；如为组织单位的，须提供工商营业执照副本、组织机构代码证、组织章程、法定代表人（负责人）身份证明及身份证等资料。</w:t>
      </w:r>
    </w:p>
    <w:p w14:paraId="6614FCA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（三）转出标的的证明材料。按所转出标的类别分别提供其中之一或若干权属证明文件（所有权证、使用权证、承包经营权证、初次承包经营合同、农业知识产权类权利证明、股权证明等）。</w:t>
      </w:r>
    </w:p>
    <w:p w14:paraId="4E2DB94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（四）相关决策、批准文件：</w:t>
      </w:r>
    </w:p>
    <w:p w14:paraId="4B2AE45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1、内部决策文件。村集体民主决策文件、合作社成员大会决议、股东会决议、董事会决议等。</w:t>
      </w:r>
    </w:p>
    <w:p w14:paraId="4786B2E0">
      <w:pPr>
        <w:pStyle w:val="13"/>
        <w:shd w:val="clear" w:color="auto" w:fill="FFFFFF"/>
        <w:spacing w:beforeAutospacing="0" w:afterAutospacing="0" w:line="56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333333"/>
          <w:sz w:val="32"/>
          <w:szCs w:val="32"/>
          <w:shd w:val="clear" w:color="auto" w:fill="FFFFFF"/>
        </w:rPr>
        <w:t>2、同意转出的相关批文。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经本村集体经济组织三分之二以上成员或者三分之二以上成员代表同意的决议或股东会决议及主管部门的批文等。</w:t>
      </w:r>
    </w:p>
    <w:p w14:paraId="158909F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涉及再次流转的，还需提交以下资料：原承包经营权合同；原承包方同意再次流转的书面同意材料。</w:t>
      </w:r>
    </w:p>
    <w:p w14:paraId="4550840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3、是否放弃优先权的需提供相应的书面证明。</w:t>
      </w:r>
    </w:p>
    <w:p w14:paraId="3CE6C47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（五）转出标的基本情况的材料（如标的基本情况介绍，有无担保、查封、诉讼等权属限制的说明）。</w:t>
      </w:r>
    </w:p>
    <w:p w14:paraId="7C0B9F4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（六）委托经办人、发包方或中介机构办理交易手续的，需提交授权委托书及受托方主体资格证明、法定代表人或负责人身份证复印件。</w:t>
      </w:r>
    </w:p>
    <w:p w14:paraId="64E9904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（七）涉及集体产权转出需要评估的，还需提交评估报告及确认决议。确认评估结果的决议应经本村集体经济组织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三分之二以上成员或者三分之二以上的成员代表</w:t>
      </w:r>
      <w:r>
        <w:rPr>
          <w:rFonts w:hint="eastAsia" w:ascii="仿宋_GB2312" w:hAnsi="仿宋_GB2312" w:eastAsia="仿宋_GB2312" w:cs="仿宋_GB2312"/>
          <w:color w:val="333333"/>
          <w:sz w:val="32"/>
          <w:szCs w:val="32"/>
          <w:shd w:val="clear" w:color="auto" w:fill="FFFFFF"/>
        </w:rPr>
        <w:t>的同意。</w:t>
      </w:r>
    </w:p>
    <w:p w14:paraId="6F4FC90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（八）其他需要提交的材料。</w:t>
      </w:r>
    </w:p>
    <w:p w14:paraId="62E0135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出让方应当对所提交的申请书及相关材料的真实性、完整性、有效性、合法性负责。</w:t>
      </w:r>
    </w:p>
    <w:p w14:paraId="4951FB5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收到出让方提交的转出申请材料后，农交中心进行形式性审查。符合齐全性和合规性要求的，农交中心予以受理登记；不符合齐全性和合规性要求的，农交中心将审查意见及时告知出让方。</w:t>
      </w:r>
    </w:p>
    <w:p w14:paraId="69242E8A">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14" w:name="_Toc27950"/>
      <w:r>
        <w:rPr>
          <w:rStyle w:val="18"/>
          <w:rFonts w:hint="eastAsia" w:ascii="黑体" w:hAnsi="黑体" w:eastAsia="黑体" w:cs="黑体"/>
          <w:b w:val="0"/>
          <w:bCs/>
          <w:color w:val="333333"/>
          <w:sz w:val="32"/>
          <w:szCs w:val="32"/>
          <w:shd w:val="clear" w:color="auto" w:fill="FFFFFF"/>
        </w:rPr>
        <w:t>第三章 发布转出信息</w:t>
      </w:r>
      <w:bookmarkEnd w:id="14"/>
    </w:p>
    <w:p w14:paraId="2C1A609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农交中心会同各乡镇（街道）农村产权交易服务站对出让方交易申请的相关材料和权属证明进行形式性审核，审核通过后，通过农交中心网站对外发布流转公告。</w:t>
      </w:r>
    </w:p>
    <w:p w14:paraId="0AF84F6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应当披露转出标的基本情况、交易条件、受让方资格条件、对产权交易有重大影响的相关信息、交易方式、交易保证金设置、公告及展示时间等内容。</w:t>
      </w:r>
    </w:p>
    <w:p w14:paraId="730A23D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出让方应当明确产权转出公告的期限。首次信息发布的期限应当</w:t>
      </w:r>
      <w:r>
        <w:rPr>
          <w:rFonts w:hint="eastAsia" w:ascii="仿宋_GB2312" w:hAnsi="仿宋_GB2312" w:eastAsia="仿宋_GB2312" w:cs="仿宋_GB2312"/>
          <w:color w:val="333333"/>
          <w:sz w:val="32"/>
          <w:szCs w:val="32"/>
          <w:highlight w:val="none"/>
          <w:shd w:val="clear" w:color="auto" w:fill="FFFFFF"/>
        </w:rPr>
        <w:t>不少于5个工作日</w:t>
      </w:r>
      <w:r>
        <w:rPr>
          <w:rFonts w:hint="eastAsia" w:ascii="仿宋_GB2312" w:hAnsi="仿宋_GB2312" w:eastAsia="仿宋_GB2312" w:cs="仿宋_GB2312"/>
          <w:color w:val="333333"/>
          <w:sz w:val="32"/>
          <w:szCs w:val="32"/>
          <w:shd w:val="clear" w:color="auto" w:fill="FFFFFF"/>
        </w:rPr>
        <w:t>，以农交中心网站的首次信息发布之日为起始日。</w:t>
      </w:r>
    </w:p>
    <w:p w14:paraId="670EB72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出让方不得在信息公告期间擅自变更或取消所发布的信息。出让方擅自变更或取消所发布信息的，应当承担相应责任及赔偿相关方的损失。</w:t>
      </w:r>
    </w:p>
    <w:p w14:paraId="3A94C29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因特殊原因确需变更信息内容的，应当由原批准机构出具文件，由农交中心在原信息发布渠道发布变更信息公告，并重新计算公告期。</w:t>
      </w:r>
    </w:p>
    <w:p w14:paraId="77FAAF0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信息公告期限内未征集到符合条件的意向受让方的，在不变更信息发布内容的前提下，出让方可以在公告到期次日起3个工作日内申请延长信息发布期限，每次延长期限应当不少于5个工作日。</w:t>
      </w:r>
    </w:p>
    <w:p w14:paraId="671A00B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农村产权交易信息公告时的挂牌价由出让方确定，依照有关规定本次交易出让方需履行决策、批准程序的，则由该决策、批准人确定。</w:t>
      </w:r>
    </w:p>
    <w:p w14:paraId="6B99CCC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依法依规须经资产评估的，出让方或交易决策、批准人确定的首次挂牌价不得低于该资产评估结果。</w:t>
      </w:r>
    </w:p>
    <w:p w14:paraId="06521B3B">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信息公告期间，意向受让方可以到农交中心或所在镇（街道）农村产权交易站查阅转出标的相关信息和材料，自行或委托专人了解转出标的的现状。农交中心或所在乡镇（街道）农村产权交易站应当接受其查询并为其提供便利。</w:t>
      </w:r>
    </w:p>
    <w:p w14:paraId="16EB629B">
      <w:pPr>
        <w:pStyle w:val="13"/>
        <w:shd w:val="clear" w:color="auto" w:fill="FFFFFF"/>
        <w:spacing w:beforeAutospacing="0" w:afterAutospacing="0" w:line="560" w:lineRule="exact"/>
        <w:jc w:val="center"/>
        <w:outlineLvl w:val="1"/>
        <w:rPr>
          <w:rStyle w:val="18"/>
          <w:rFonts w:ascii="黑体" w:hAnsi="黑体" w:eastAsia="黑体" w:cs="黑体"/>
          <w:color w:val="333333"/>
          <w:sz w:val="32"/>
          <w:szCs w:val="32"/>
          <w:shd w:val="clear" w:color="auto" w:fill="FFFFFF"/>
        </w:rPr>
      </w:pPr>
      <w:bookmarkStart w:id="15" w:name="_Toc21869"/>
      <w:r>
        <w:rPr>
          <w:rStyle w:val="18"/>
          <w:rFonts w:hint="eastAsia" w:ascii="黑体" w:hAnsi="黑体" w:eastAsia="黑体" w:cs="黑体"/>
          <w:b w:val="0"/>
          <w:bCs/>
          <w:color w:val="333333"/>
          <w:sz w:val="32"/>
          <w:szCs w:val="32"/>
          <w:shd w:val="clear" w:color="auto" w:fill="FFFFFF"/>
        </w:rPr>
        <w:t>第四章 登记受让意向</w:t>
      </w:r>
      <w:bookmarkEnd w:id="15"/>
    </w:p>
    <w:p w14:paraId="5F32825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意向受让方应向农交中心或委托代理方提出产权受让申请。</w:t>
      </w:r>
    </w:p>
    <w:p w14:paraId="2FBE252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受让方申请受让信息发布的，应向农交中心提交以下资料，提交的资料应当是原件，确无法提交原件的，应当提交由原件持有方签字、盖章的复印件：</w:t>
      </w:r>
    </w:p>
    <w:p w14:paraId="2CA35CA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（一）《农村产权意向受让申请书》（采取网络竞价方式的无需提交）。</w:t>
      </w:r>
    </w:p>
    <w:p w14:paraId="12270BB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主体资格证明材料。如为自然人提供个人身份证；如为农村合作社的，提供《合作社营业执照》、法定代表人身份证；如为公司提供工商营业执照副本、组织机构代码证、法定代表人身份证明及身份证、公司章程等有效证件的复印件；如为其他组织的提供资质证照、负责人身份证明和身份证及相关文件。</w:t>
      </w:r>
    </w:p>
    <w:p w14:paraId="7EF99ED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（三）符合受让资格条件的证明文件，如限制为本村集体经济组织成员提供身份认证材料。</w:t>
      </w:r>
    </w:p>
    <w:p w14:paraId="495031E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（四）同意受让农村产权的证明。如为村集体经济组织的应按规定形成同意受让决议；如为公司按章程规定的议事规则，提供董事会或股东大会决议；如需上级部门批准的，还应提供同意受让批复。</w:t>
      </w:r>
    </w:p>
    <w:p w14:paraId="2497CFA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（五）委托代理的，需提交授权委托书及受托人身份证。</w:t>
      </w:r>
    </w:p>
    <w:p w14:paraId="6F06E86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（六）采取联合受让的，应提交联合受让方签订的《联合受让协议》，并提交推举一方代表联合受让，各方办理受让相关事宜的推举书。</w:t>
      </w:r>
    </w:p>
    <w:p w14:paraId="770DA47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（七）其他需要提交的材料。</w:t>
      </w:r>
    </w:p>
    <w:p w14:paraId="616BFB6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意向受让方应对其申请及提交材料的真实性、完整性、合法性、有效性负责。</w:t>
      </w:r>
    </w:p>
    <w:p w14:paraId="06981D2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农交中心对意向受让方提交的申请材料进行齐全性和合规性审核，对符合条件的意向受让方进行资格确认并受理登记。</w:t>
      </w:r>
    </w:p>
    <w:p w14:paraId="14A2EAE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如需出让方确认意向受让方资格，则农交中心应及时将意向受让方的登记情况及其资格确认意见告知出让方，出让方在收到农交中心的登记情况后，应当在3个工作日内予以回复。如对意向受让方资格条件存有异议，应当在意见中说明理由，并提交相关证明材料。出让方逾期未予回复的，视为同意农交中心作出的资格确认意见。</w:t>
      </w:r>
    </w:p>
    <w:p w14:paraId="491AB7A6">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如出让方要求受让方交纳交易保证金的，通过确认的意向受让方应在规定时限内向农交中心交纳交易保证金（以到达指定账户为准）后获得参与受让资格。逾期未交纳交易保证金的，视为放弃受让意向。</w:t>
      </w:r>
    </w:p>
    <w:p w14:paraId="21042E54">
      <w:pPr>
        <w:pStyle w:val="13"/>
        <w:shd w:val="clear" w:color="auto" w:fill="FFFFFF"/>
        <w:spacing w:beforeAutospacing="0" w:afterAutospacing="0" w:line="560" w:lineRule="exact"/>
        <w:jc w:val="center"/>
        <w:outlineLvl w:val="1"/>
        <w:rPr>
          <w:rFonts w:ascii="方正仿宋_GB2312" w:hAnsi="方正仿宋_GB2312" w:eastAsia="方正仿宋_GB2312" w:cs="方正仿宋_GB2312"/>
          <w:bCs/>
          <w:color w:val="333333"/>
          <w:sz w:val="32"/>
          <w:szCs w:val="32"/>
        </w:rPr>
      </w:pPr>
      <w:bookmarkStart w:id="16" w:name="_Toc17437"/>
      <w:r>
        <w:rPr>
          <w:rStyle w:val="18"/>
          <w:rFonts w:hint="eastAsia" w:ascii="黑体" w:hAnsi="黑体" w:eastAsia="黑体" w:cs="黑体"/>
          <w:b w:val="0"/>
          <w:bCs/>
          <w:color w:val="333333"/>
          <w:sz w:val="32"/>
          <w:szCs w:val="32"/>
          <w:shd w:val="clear" w:color="auto" w:fill="FFFFFF"/>
        </w:rPr>
        <w:t>第五章 组织交易签约</w:t>
      </w:r>
      <w:bookmarkEnd w:id="16"/>
    </w:p>
    <w:p w14:paraId="387209E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xml:space="preserve"> 产权转出信息公告期满后，产生两个及以上符合条件的意向受让方的，农交中心按照公告的竞价方式组织或指导实施公开竞价；只产生一个符合条件的意向受让方的，农交中心组织交易双方按挂牌价与意向受让方报价孰高原则直接签约，意向受让方未报价的，农交中心组织交易双方按挂牌价直接签约。涉及第三人依法在同等条件下享有优先受让权的，按照有关法律规定执行。</w:t>
      </w:r>
    </w:p>
    <w:p w14:paraId="09F1F3E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xml:space="preserve"> 农交中心依据征集到的意向交易信息确定受让方。</w:t>
      </w:r>
    </w:p>
    <w:p w14:paraId="2225AAE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xml:space="preserve"> 公开竞价方式包括协议转出、网络竞价、拍卖、招投标及其他竞价方式。</w:t>
      </w:r>
    </w:p>
    <w:p w14:paraId="1A190654">
      <w:pPr>
        <w:pStyle w:val="13"/>
        <w:shd w:val="clear" w:color="auto" w:fill="FFFFFF"/>
        <w:spacing w:beforeAutospacing="0" w:afterAutospacing="0" w:line="560" w:lineRule="exact"/>
        <w:ind w:firstLine="643"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xml:space="preserve"> 竞价结束后，农交中心确定受让方后发布成交公示，公示期为3个工作日。在公示期内如有异议的，可向出让方提出异议或向相关监督部门投诉，农交中心视情况可中止交易；经公示后无异议的，在次日起</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5个工作日内组织交易双方签订农村产权交易合同。</w:t>
      </w:r>
    </w:p>
    <w:p w14:paraId="4D148BC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xml:space="preserve"> 农村产权交易合同条款包括但不限于：</w:t>
      </w:r>
    </w:p>
    <w:p w14:paraId="2842FAC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（一）产权交易双方的名称与住所；</w:t>
      </w:r>
    </w:p>
    <w:p w14:paraId="2C9C7C7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（二）转让标的的基本情况；</w:t>
      </w:r>
    </w:p>
    <w:p w14:paraId="0A5EB91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（三）产权出让方式；</w:t>
      </w:r>
    </w:p>
    <w:p w14:paraId="6EEF907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（四）转让价格、合同价款付款方式及付款期限；</w:t>
      </w:r>
    </w:p>
    <w:p w14:paraId="7786927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（五）产权交易事项；</w:t>
      </w:r>
    </w:p>
    <w:p w14:paraId="00AD48F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（六）合同的生效条件；</w:t>
      </w:r>
    </w:p>
    <w:p w14:paraId="12D57AC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（七）合同争议的解决方式；</w:t>
      </w:r>
    </w:p>
    <w:p w14:paraId="22D3397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（八）合同各方的违约责任；</w:t>
      </w:r>
    </w:p>
    <w:p w14:paraId="1C4FAF0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（九）合同变更和解除的条件；</w:t>
      </w:r>
    </w:p>
    <w:p w14:paraId="37F9A0BA">
      <w:pPr>
        <w:pStyle w:val="13"/>
        <w:shd w:val="clear" w:color="auto" w:fill="FFFFFF"/>
        <w:spacing w:beforeAutospacing="0" w:afterAutospacing="0" w:line="560" w:lineRule="exact"/>
        <w:ind w:firstLine="640" w:firstLineChars="200"/>
        <w:rPr>
          <w:rFonts w:ascii="方正仿宋_GB2312" w:hAnsi="方正仿宋_GB2312" w:eastAsia="方正仿宋_GB2312" w:cs="方正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（十）交易双方约定的其他事项。</w:t>
      </w:r>
    </w:p>
    <w:p w14:paraId="7E97DC37">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17" w:name="_Toc31480"/>
      <w:r>
        <w:rPr>
          <w:rStyle w:val="18"/>
          <w:rFonts w:hint="eastAsia" w:ascii="黑体" w:hAnsi="黑体" w:eastAsia="黑体" w:cs="黑体"/>
          <w:b w:val="0"/>
          <w:bCs/>
          <w:color w:val="333333"/>
          <w:sz w:val="32"/>
          <w:szCs w:val="32"/>
          <w:shd w:val="clear" w:color="auto" w:fill="FFFFFF"/>
        </w:rPr>
        <w:t>第六章 结算交易资金</w:t>
      </w:r>
      <w:bookmarkEnd w:id="17"/>
    </w:p>
    <w:p w14:paraId="22E82E0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xml:space="preserve"> 交易资金包括交易保证金和交易价款，以人民币为计价单位。</w:t>
      </w:r>
    </w:p>
    <w:p w14:paraId="4039B84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xml:space="preserve"> 交易资金原则上实行统一进场结算制度。农交中心开设独立的结算账户，组织收付交易价款，保证结算账户中交易资金的安全。其他中介机构不得收付交易资金。</w:t>
      </w:r>
    </w:p>
    <w:p w14:paraId="016036F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xml:space="preserve"> 交易合同签订后，农交中心向受让方出具《产权交易结算通知书》。受让方将交易价款支付到农交中心指定的结算账户。受让方交纳的交易保证金按照相关约定可以转为交易价款。交易合同约定价款支付方式为分期付款的，按照合同约定执行。</w:t>
      </w:r>
    </w:p>
    <w:p w14:paraId="632894A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xml:space="preserve"> 受让方将交易价款交付至农交中心结算账户后，农交中心对受让方出具收据凭证。对符合交易价款划出条件的，农交中心向出让方划出交易价款。</w:t>
      </w:r>
    </w:p>
    <w:p w14:paraId="26DB304C">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xml:space="preserve"> 交易双方应当按照农交中心的收费标准支付交易服务费等费用，农交中心在收到服务费用后，出具收费凭证。</w:t>
      </w:r>
    </w:p>
    <w:p w14:paraId="41D894F2">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18" w:name="_Toc8726"/>
      <w:r>
        <w:rPr>
          <w:rStyle w:val="18"/>
          <w:rFonts w:hint="eastAsia" w:ascii="黑体" w:hAnsi="黑体" w:eastAsia="黑体" w:cs="黑体"/>
          <w:b w:val="0"/>
          <w:bCs/>
          <w:color w:val="333333"/>
          <w:sz w:val="32"/>
          <w:szCs w:val="32"/>
          <w:shd w:val="clear" w:color="auto" w:fill="FFFFFF"/>
        </w:rPr>
        <w:t>第七章 出具交易鉴证</w:t>
      </w:r>
      <w:bookmarkEnd w:id="18"/>
    </w:p>
    <w:p w14:paraId="2CD6F0B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xml:space="preserve"> 根据产权交易双方签订的农村产权交易合同，受让方依据合同约定将交易价款交付至农交中心结算账户，且在</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10天内支付交易服务费用后，</w:t>
      </w:r>
      <w:r>
        <w:rPr>
          <w:rFonts w:hint="eastAsia" w:ascii="仿宋_GB2312" w:hAnsi="仿宋_GB2312" w:eastAsia="仿宋_GB2312" w:cs="仿宋_GB2312"/>
          <w:color w:val="333333"/>
          <w:sz w:val="32"/>
          <w:szCs w:val="32"/>
          <w:shd w:val="clear" w:color="auto" w:fill="FFFFFF"/>
        </w:rPr>
        <w:t>农交中心应在3个工作日内出具农村产权交易</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鉴证</w:t>
      </w:r>
      <w:r>
        <w:rPr>
          <w:rFonts w:hint="eastAsia" w:ascii="仿宋_GB2312" w:hAnsi="仿宋_GB2312" w:eastAsia="仿宋_GB2312" w:cs="仿宋_GB2312"/>
          <w:color w:val="333333"/>
          <w:sz w:val="32"/>
          <w:szCs w:val="32"/>
          <w:shd w:val="clear" w:color="auto" w:fill="FFFFFF"/>
        </w:rPr>
        <w:t>。</w:t>
      </w:r>
    </w:p>
    <w:p w14:paraId="4CDE60EB">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xml:space="preserve"> 交易行为需要政府有关部门批准的，农交中心应当在交易行为获得政府有关部门批准后出具农村产权交易鉴证。</w:t>
      </w:r>
    </w:p>
    <w:p w14:paraId="0A39048C">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19" w:name="_Toc3160"/>
      <w:r>
        <w:rPr>
          <w:rStyle w:val="18"/>
          <w:rFonts w:hint="eastAsia" w:ascii="黑体" w:hAnsi="黑体" w:eastAsia="黑体" w:cs="黑体"/>
          <w:b w:val="0"/>
          <w:bCs/>
          <w:color w:val="333333"/>
          <w:sz w:val="32"/>
          <w:szCs w:val="32"/>
          <w:shd w:val="clear" w:color="auto" w:fill="FFFFFF"/>
        </w:rPr>
        <w:t>第八章 交易的中止和终结</w:t>
      </w:r>
      <w:bookmarkEnd w:id="19"/>
    </w:p>
    <w:p w14:paraId="487014E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xml:space="preserve"> 农村产权流转交易过程中，有下列情形的，经有关方面向农交中心提出申请，经农交中心受理登记，可以中止交易。</w:t>
      </w:r>
    </w:p>
    <w:p w14:paraId="0EDF861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（一）第三方对出让方转出产权存在争议，且提供政府或有关部门证明材料的。</w:t>
      </w:r>
    </w:p>
    <w:p w14:paraId="3026F5F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（二）司法机关发出中止交易通知或依法做出的法律文件导致交易中止的。</w:t>
      </w:r>
    </w:p>
    <w:p w14:paraId="61B702F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（三）按照相关法律法规规定应当中止交易的其他情况。</w:t>
      </w:r>
    </w:p>
    <w:p w14:paraId="44FA59D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（四）成交公示期内如有提出的异议事项可能影响竞价、成交结果的。</w:t>
      </w:r>
    </w:p>
    <w:p w14:paraId="53561E5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（五）因其他不可抗力因素造成交易不能顺利进行的。</w:t>
      </w:r>
    </w:p>
    <w:p w14:paraId="29D7E6F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xml:space="preserve"> 中止期限由农交中心根据实际情况设定，一般不超过30天。农交中心应当在中止期间对相关的申请事由或争议事项进行调查核实，也可转请相关部门进行调查核实，及时做出恢复或终结交易的决定。</w:t>
      </w:r>
    </w:p>
    <w:p w14:paraId="5AC59F3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xml:space="preserve"> 出现致使交易活动无法按照规定程序正常进行的情形，并经调查核实确认无法消除时，农交中心可以作出终结交易的决定。</w:t>
      </w:r>
    </w:p>
    <w:p w14:paraId="6A7A3EB2">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xml:space="preserve"> 交易中出现中止、终结、恢复情形的，应当在农交中心网站上公告。</w:t>
      </w:r>
    </w:p>
    <w:p w14:paraId="6EC42F91">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0" w:name="_Toc9899"/>
      <w:r>
        <w:rPr>
          <w:rStyle w:val="18"/>
          <w:rFonts w:hint="eastAsia" w:ascii="黑体" w:hAnsi="黑体" w:eastAsia="黑体" w:cs="黑体"/>
          <w:b w:val="0"/>
          <w:bCs/>
          <w:color w:val="333333"/>
          <w:sz w:val="32"/>
          <w:szCs w:val="32"/>
          <w:shd w:val="clear" w:color="auto" w:fill="FFFFFF"/>
        </w:rPr>
        <w:t>第九章 附 则</w:t>
      </w:r>
      <w:bookmarkEnd w:id="20"/>
    </w:p>
    <w:p w14:paraId="7761C60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xml:space="preserve"> 农交中心依据本规则进行的各项审核均为对交易方提出的申请和提交的材料的齐全性、合规性</w:t>
      </w:r>
      <w:r>
        <w:rPr>
          <w:rFonts w:hint="eastAsia" w:ascii="仿宋_GB2312" w:hAnsi="仿宋_GB2312" w:eastAsia="仿宋_GB2312" w:cs="仿宋_GB2312"/>
          <w:color w:val="FF0000"/>
          <w:sz w:val="32"/>
          <w:szCs w:val="32"/>
          <w:shd w:val="clear" w:color="auto" w:fill="FFFFFF"/>
        </w:rPr>
        <w:t>形式审核</w:t>
      </w:r>
      <w:r>
        <w:rPr>
          <w:rFonts w:hint="eastAsia" w:ascii="仿宋_GB2312" w:hAnsi="仿宋_GB2312" w:eastAsia="仿宋_GB2312" w:cs="仿宋_GB2312"/>
          <w:color w:val="333333"/>
          <w:sz w:val="32"/>
          <w:szCs w:val="32"/>
          <w:shd w:val="clear" w:color="auto" w:fill="FFFFFF"/>
        </w:rPr>
        <w:t>，不承担包括但不限于保证交易方主体资格、交易权限完整、交易标的无瑕疵、交易双方做出的声明及承诺以及提供的文件资料真实、完整、有效、准确等一切责任。交易双方应自行承担交易风险。</w:t>
      </w:r>
    </w:p>
    <w:p w14:paraId="7CF6302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xml:space="preserve"> 农交中心依据本规则进行的各项审查审核均为对交易双方提出的申请和提交的材料的齐全性、合规性形式的审查审核，不承担包括但不限于保证交易方主体资格、交易权限完整、交易标的无瑕疵、交易双方做出的声明及承诺以及提供的文件资料真实、完整、有效、准确等一切责任。交易双方应自行承担交易风险。</w:t>
      </w:r>
    </w:p>
    <w:p w14:paraId="0BA1A0D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xml:space="preserve"> 交易过程中发生争议时，当事人可以向农交中心申请调解，也可以按照约定向仲裁机构申请仲裁或者向人民法院提起诉讼。</w:t>
      </w:r>
    </w:p>
    <w:p w14:paraId="52A3D76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第四十三条</w:t>
      </w:r>
      <w:r>
        <w:rPr>
          <w:rFonts w:hint="eastAsia" w:ascii="仿宋_GB2312" w:hAnsi="仿宋_GB2312" w:eastAsia="仿宋_GB2312" w:cs="仿宋_GB2312"/>
          <w:color w:val="333333"/>
          <w:sz w:val="32"/>
          <w:szCs w:val="32"/>
          <w:shd w:val="clear" w:color="auto" w:fill="FFFFFF"/>
        </w:rPr>
        <w:t xml:space="preserve"> 法律、法规和规章、政策对农村产权交易有规定的，从其规定。</w:t>
      </w:r>
    </w:p>
    <w:p w14:paraId="728C7EC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第四十四条</w:t>
      </w:r>
      <w:r>
        <w:rPr>
          <w:rFonts w:hint="eastAsia" w:ascii="仿宋_GB2312" w:hAnsi="仿宋_GB2312" w:eastAsia="仿宋_GB2312" w:cs="仿宋_GB2312"/>
          <w:color w:val="333333"/>
          <w:sz w:val="32"/>
          <w:szCs w:val="32"/>
          <w:shd w:val="clear" w:color="auto" w:fill="FFFFFF"/>
        </w:rPr>
        <w:t xml:space="preserve"> 本规则的解释权和修订权归石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bookmarkStart w:id="443" w:name="_GoBack"/>
      <w:bookmarkEnd w:id="443"/>
    </w:p>
    <w:p w14:paraId="12E9C1F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sectPr>
          <w:footerReference r:id="rId7" w:type="first"/>
          <w:footerReference r:id="rId6" w:type="default"/>
          <w:pgSz w:w="11906" w:h="16838"/>
          <w:pgMar w:top="1440" w:right="1800" w:bottom="1440" w:left="1800" w:header="454" w:footer="510" w:gutter="0"/>
          <w:pgNumType w:fmt="numberInDash" w:start="1"/>
          <w:cols w:space="425" w:num="1"/>
          <w:titlePg/>
          <w:docGrid w:type="lines" w:linePitch="312" w:charSpace="0"/>
        </w:sectPr>
      </w:pPr>
      <w:r>
        <w:rPr>
          <w:rFonts w:hint="eastAsia" w:ascii="仿宋_GB2312" w:hAnsi="仿宋_GB2312" w:eastAsia="仿宋_GB2312" w:cs="仿宋_GB2312"/>
          <w:b/>
          <w:bCs/>
          <w:color w:val="333333"/>
          <w:sz w:val="32"/>
          <w:szCs w:val="32"/>
          <w:shd w:val="clear" w:color="auto" w:fill="FFFFFF"/>
        </w:rPr>
        <w:t xml:space="preserve">第四十五条 </w:t>
      </w:r>
      <w:r>
        <w:rPr>
          <w:rFonts w:hint="eastAsia" w:ascii="仿宋_GB2312" w:hAnsi="仿宋_GB2312" w:eastAsia="仿宋_GB2312" w:cs="仿宋_GB2312"/>
          <w:color w:val="333333"/>
          <w:sz w:val="32"/>
          <w:szCs w:val="32"/>
          <w:shd w:val="clear" w:color="auto" w:fill="FFFFFF"/>
        </w:rPr>
        <w:t>本规则自印发之日起执行。</w:t>
      </w:r>
    </w:p>
    <w:p w14:paraId="24429CF5">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21" w:name="_Toc31838"/>
      <w:bookmarkStart w:id="22" w:name="_Toc4079"/>
      <w:bookmarkStart w:id="23" w:name="_Toc28501"/>
      <w:bookmarkStart w:id="24" w:name="_Toc22766"/>
      <w:bookmarkStart w:id="25" w:name="_Toc32261"/>
      <w:bookmarkStart w:id="26" w:name="_Toc18666"/>
      <w:bookmarkStart w:id="27" w:name="_Toc8676"/>
      <w:bookmarkStart w:id="28" w:name="_Toc8449"/>
      <w:bookmarkStart w:id="29" w:name="_Toc9371"/>
      <w:bookmarkStart w:id="30" w:name="_Toc27228"/>
      <w:bookmarkStart w:id="31" w:name="_Toc24690"/>
      <w:bookmarkStart w:id="32" w:name="_Toc11391"/>
      <w:bookmarkStart w:id="33" w:name="_Toc23528"/>
      <w:bookmarkStart w:id="34" w:name="_Toc13284"/>
      <w:bookmarkStart w:id="35" w:name="_Toc2176"/>
      <w:bookmarkStart w:id="36" w:name="_Toc21505"/>
      <w:bookmarkStart w:id="37" w:name="_Toc21126"/>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2A8C1E80">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农村承包土地经营权流转交易规则（试行）</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5C7AD084">
      <w:pPr>
        <w:pStyle w:val="13"/>
        <w:shd w:val="clear" w:color="auto" w:fill="FFFFFF"/>
        <w:spacing w:beforeAutospacing="0" w:afterAutospacing="0" w:line="560" w:lineRule="exact"/>
        <w:ind w:firstLine="643" w:firstLineChars="200"/>
        <w:rPr>
          <w:rStyle w:val="18"/>
          <w:rFonts w:ascii="仿宋_GB2312" w:hAnsi="仿宋_GB2312" w:eastAsia="仿宋_GB2312" w:cs="仿宋_GB2312"/>
          <w:color w:val="333333"/>
          <w:sz w:val="32"/>
          <w:szCs w:val="32"/>
          <w:shd w:val="clear" w:color="auto" w:fill="FFFFFF"/>
        </w:rPr>
      </w:pPr>
    </w:p>
    <w:p w14:paraId="6E9E44B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门县农村产权交易中心（以下简称“农交中心”）进行的农村承包土地经营权流转行为，保障交易各方合法权益，维护交易秩序，促进农村承包土地经营权流转，根据《中华人民共和国土地管理法》《中华人民共和国农村土地承包法》《中华人民共和国民法典》等法律、法规并依据《石门</w:t>
      </w:r>
      <w:r>
        <w:rPr>
          <w:rFonts w:hint="eastAsia" w:ascii="___WRD_EMBED_SUB_45" w:hAnsi="___WRD_EMBED_SUB_45" w:eastAsia="___WRD_EMBED_SUB_45" w:cs="___WRD_EMBED_SUB_45"/>
          <w:color w:val="333333"/>
          <w:sz w:val="32"/>
          <w:szCs w:val="32"/>
          <w:shd w:val="clear" w:color="auto" w:fill="FFFFFF"/>
        </w:rPr>
        <w:t>县</w:t>
      </w:r>
      <w:r>
        <w:rPr>
          <w:rFonts w:hint="eastAsia" w:ascii="仿宋_GB2312" w:hAnsi="仿宋_GB2312" w:eastAsia="仿宋_GB2312" w:cs="仿宋_GB2312"/>
          <w:color w:val="333333"/>
          <w:sz w:val="32"/>
          <w:szCs w:val="32"/>
          <w:shd w:val="clear" w:color="auto" w:fill="FFFFFF"/>
        </w:rPr>
        <w:t>农村产权农村交易中心交易规则（试行）》，制定本规则。</w:t>
      </w:r>
    </w:p>
    <w:p w14:paraId="48C049B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第二条 </w:t>
      </w:r>
      <w:r>
        <w:rPr>
          <w:rFonts w:hint="eastAsia" w:ascii="仿宋_GB2312" w:hAnsi="仿宋_GB2312" w:eastAsia="仿宋_GB2312" w:cs="仿宋_GB2312"/>
          <w:color w:val="333333"/>
          <w:sz w:val="32"/>
          <w:szCs w:val="32"/>
          <w:shd w:val="clear" w:color="auto" w:fill="FFFFFF"/>
        </w:rPr>
        <w:t>在农交中心进行的农村承包土地经营权流转交易行为，适用本规则。法律、法规和规章另有规定的，从其规定。</w:t>
      </w:r>
    </w:p>
    <w:p w14:paraId="13D82AAD">
      <w:pPr>
        <w:pStyle w:val="13"/>
        <w:shd w:val="clear" w:color="auto" w:fill="FFFFFF"/>
        <w:spacing w:beforeAutospacing="0" w:afterAutospacing="0" w:line="560" w:lineRule="exact"/>
        <w:ind w:firstLine="643" w:firstLineChars="200"/>
        <w:rPr>
          <w:rFonts w:ascii="Times New Roman" w:hAnsi="Times New Roman" w:eastAsia="仿宋_GB2312"/>
          <w:sz w:val="32"/>
          <w:szCs w:val="32"/>
        </w:rPr>
      </w:pPr>
      <w:r>
        <w:rPr>
          <w:rStyle w:val="18"/>
          <w:rFonts w:hint="eastAsia" w:ascii="仿宋_GB2312" w:hAnsi="仿宋_GB2312" w:eastAsia="仿宋_GB2312" w:cs="仿宋_GB2312"/>
          <w:color w:val="333333"/>
          <w:sz w:val="32"/>
          <w:szCs w:val="32"/>
          <w:shd w:val="clear" w:color="auto" w:fill="FFFFFF"/>
        </w:rPr>
        <w:t xml:space="preserve">第三条 </w:t>
      </w:r>
      <w:r>
        <w:rPr>
          <w:rFonts w:hint="eastAsia" w:ascii="仿宋_GB2312" w:hAnsi="仿宋_GB2312" w:eastAsia="仿宋_GB2312" w:cs="仿宋_GB2312"/>
          <w:color w:val="333333"/>
          <w:sz w:val="32"/>
          <w:szCs w:val="32"/>
          <w:shd w:val="clear" w:color="auto" w:fill="FFFFFF"/>
        </w:rPr>
        <w:t>农村承包土地经营权</w:t>
      </w:r>
      <w:r>
        <w:rPr>
          <w:rFonts w:ascii="Times New Roman" w:hAnsi="Times New Roman" w:eastAsia="仿宋_GB2312"/>
          <w:sz w:val="32"/>
          <w:szCs w:val="32"/>
        </w:rPr>
        <w:t>是指依法通过家庭承包方式和其他承包方式取得的耕地、荒山、荒沟、荒丘、荒滩等农村土地的经营权，以及通过流转方式取得的农村土地的经营权，也包括集体经济组织未发包的土地经营权。</w:t>
      </w:r>
    </w:p>
    <w:p w14:paraId="66E9EFBC">
      <w:pPr>
        <w:pStyle w:val="13"/>
        <w:shd w:val="clear" w:color="auto" w:fill="FFFFFF"/>
        <w:spacing w:beforeAutospacing="0" w:afterAutospacing="0"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第四条  交易主体</w:t>
      </w:r>
    </w:p>
    <w:p w14:paraId="379EE4AD">
      <w:pPr>
        <w:pStyle w:val="13"/>
        <w:shd w:val="clear" w:color="auto" w:fill="FFFFFF"/>
        <w:spacing w:beforeAutospacing="0" w:afterAutospacing="0" w:line="560" w:lineRule="exact"/>
        <w:ind w:firstLine="640" w:firstLineChars="200"/>
        <w:jc w:val="both"/>
        <w:rPr>
          <w:rStyle w:val="18"/>
          <w:rFonts w:ascii="仿宋_GB2312" w:hAnsi="仿宋_GB2312" w:eastAsia="仿宋_GB2312" w:cs="仿宋_GB2312"/>
          <w:color w:val="333333"/>
          <w:sz w:val="32"/>
          <w:szCs w:val="32"/>
          <w:shd w:val="clear" w:color="auto" w:fill="FFFFFF"/>
        </w:rPr>
      </w:pPr>
      <w:r>
        <w:rPr>
          <w:rFonts w:ascii="Times New Roman" w:hAnsi="Times New Roman" w:eastAsia="仿宋_GB2312"/>
          <w:sz w:val="32"/>
          <w:szCs w:val="32"/>
        </w:rPr>
        <w:t>农村土地经营权流转交易的主体有农户、种养大户、家庭农场主、农民合作组织、农村集体经济组织、涉农企业等，包括</w:t>
      </w:r>
      <w:r>
        <w:rPr>
          <w:rFonts w:hint="eastAsia" w:ascii="Times New Roman" w:hAnsi="Times New Roman" w:eastAsia="仿宋_GB2312"/>
          <w:sz w:val="32"/>
          <w:szCs w:val="32"/>
        </w:rPr>
        <w:t>出让方</w:t>
      </w:r>
      <w:r>
        <w:rPr>
          <w:rFonts w:ascii="Times New Roman" w:hAnsi="Times New Roman" w:eastAsia="仿宋_GB2312"/>
          <w:sz w:val="32"/>
          <w:szCs w:val="32"/>
        </w:rPr>
        <w:t>、意向</w:t>
      </w:r>
      <w:r>
        <w:rPr>
          <w:rFonts w:hint="eastAsia" w:ascii="Times New Roman" w:hAnsi="Times New Roman" w:eastAsia="仿宋_GB2312"/>
          <w:sz w:val="32"/>
          <w:szCs w:val="32"/>
        </w:rPr>
        <w:t>受让方</w:t>
      </w:r>
      <w:r>
        <w:rPr>
          <w:rFonts w:ascii="Times New Roman" w:hAnsi="Times New Roman" w:eastAsia="仿宋_GB2312"/>
          <w:sz w:val="32"/>
          <w:szCs w:val="32"/>
        </w:rPr>
        <w:t>和</w:t>
      </w:r>
      <w:r>
        <w:rPr>
          <w:rFonts w:hint="eastAsia" w:ascii="Times New Roman" w:hAnsi="Times New Roman" w:eastAsia="仿宋_GB2312"/>
          <w:sz w:val="32"/>
          <w:szCs w:val="32"/>
        </w:rPr>
        <w:t>受让方</w:t>
      </w:r>
      <w:r>
        <w:rPr>
          <w:rFonts w:ascii="Times New Roman" w:hAnsi="Times New Roman" w:eastAsia="仿宋_GB2312"/>
          <w:sz w:val="32"/>
          <w:szCs w:val="32"/>
        </w:rPr>
        <w:t>。</w:t>
      </w:r>
      <w:r>
        <w:rPr>
          <w:rFonts w:hint="eastAsia" w:ascii="Times New Roman" w:hAnsi="Times New Roman" w:eastAsia="仿宋_GB2312"/>
          <w:sz w:val="32"/>
          <w:szCs w:val="32"/>
        </w:rPr>
        <w:t>出让方</w:t>
      </w:r>
      <w:r>
        <w:rPr>
          <w:rFonts w:ascii="Times New Roman" w:hAnsi="Times New Roman" w:eastAsia="仿宋_GB2312"/>
          <w:sz w:val="32"/>
          <w:szCs w:val="32"/>
        </w:rPr>
        <w:t>是指委托</w:t>
      </w:r>
      <w:r>
        <w:rPr>
          <w:rFonts w:hint="eastAsia" w:ascii="Times New Roman" w:hAnsi="Times New Roman" w:eastAsia="仿宋_GB2312"/>
          <w:sz w:val="32"/>
          <w:szCs w:val="32"/>
        </w:rPr>
        <w:t>农交中心</w:t>
      </w:r>
      <w:r>
        <w:rPr>
          <w:rFonts w:ascii="Times New Roman" w:hAnsi="Times New Roman" w:eastAsia="仿宋_GB2312"/>
          <w:sz w:val="32"/>
          <w:szCs w:val="32"/>
        </w:rPr>
        <w:t>对其依法拥有的农村土地经营权进行流转交易的产权权利人或受其委托的代理人；意向</w:t>
      </w:r>
      <w:r>
        <w:rPr>
          <w:rFonts w:hint="eastAsia" w:ascii="Times New Roman" w:hAnsi="Times New Roman" w:eastAsia="仿宋_GB2312"/>
          <w:sz w:val="32"/>
          <w:szCs w:val="32"/>
        </w:rPr>
        <w:t>受让方</w:t>
      </w:r>
      <w:r>
        <w:rPr>
          <w:rFonts w:ascii="Times New Roman" w:hAnsi="Times New Roman" w:eastAsia="仿宋_GB2312"/>
          <w:sz w:val="32"/>
          <w:szCs w:val="32"/>
        </w:rPr>
        <w:t>是指报名参与</w:t>
      </w:r>
      <w:r>
        <w:rPr>
          <w:rFonts w:hint="eastAsia" w:ascii="Times New Roman" w:hAnsi="Times New Roman" w:eastAsia="仿宋_GB2312"/>
          <w:sz w:val="32"/>
          <w:szCs w:val="32"/>
        </w:rPr>
        <w:t>农交中心</w:t>
      </w:r>
      <w:r>
        <w:rPr>
          <w:rFonts w:ascii="Times New Roman" w:hAnsi="Times New Roman" w:eastAsia="仿宋_GB2312"/>
          <w:sz w:val="32"/>
          <w:szCs w:val="32"/>
        </w:rPr>
        <w:t>组织的农村土地经营权流转交易的自然人、法人或其他机构；</w:t>
      </w:r>
      <w:r>
        <w:rPr>
          <w:rFonts w:hint="eastAsia" w:ascii="Times New Roman" w:hAnsi="Times New Roman" w:eastAsia="仿宋_GB2312"/>
          <w:sz w:val="32"/>
          <w:szCs w:val="32"/>
        </w:rPr>
        <w:t>受让方</w:t>
      </w:r>
      <w:r>
        <w:rPr>
          <w:rFonts w:ascii="Times New Roman" w:hAnsi="Times New Roman" w:eastAsia="仿宋_GB2312"/>
          <w:sz w:val="32"/>
          <w:szCs w:val="32"/>
        </w:rPr>
        <w:t>是指最终取得农村土地经营权的意向</w:t>
      </w:r>
      <w:r>
        <w:rPr>
          <w:rFonts w:hint="eastAsia" w:ascii="Times New Roman" w:hAnsi="Times New Roman" w:eastAsia="仿宋_GB2312"/>
          <w:sz w:val="32"/>
          <w:szCs w:val="32"/>
        </w:rPr>
        <w:t>受让方</w:t>
      </w:r>
      <w:r>
        <w:rPr>
          <w:rFonts w:ascii="Times New Roman" w:hAnsi="Times New Roman" w:eastAsia="仿宋_GB2312"/>
          <w:sz w:val="32"/>
          <w:szCs w:val="32"/>
        </w:rPr>
        <w:t>。</w:t>
      </w:r>
    </w:p>
    <w:p w14:paraId="65B79178">
      <w:pPr>
        <w:pStyle w:val="13"/>
        <w:shd w:val="clear" w:color="auto" w:fill="FFFFFF"/>
        <w:spacing w:beforeAutospacing="0" w:afterAutospacing="0" w:line="560" w:lineRule="exact"/>
        <w:ind w:firstLine="643" w:firstLineChars="200"/>
        <w:rPr>
          <w:rFonts w:ascii="仿宋_GB2312" w:hAnsi="仿宋_GB2312" w:eastAsia="仿宋_GB2312" w:cs="仿宋_GB2312"/>
          <w:b/>
          <w:color w:val="333333"/>
          <w:sz w:val="32"/>
          <w:szCs w:val="32"/>
        </w:rPr>
      </w:pPr>
      <w:r>
        <w:rPr>
          <w:rStyle w:val="18"/>
          <w:rFonts w:hint="eastAsia" w:ascii="仿宋_GB2312" w:hAnsi="仿宋_GB2312" w:eastAsia="仿宋_GB2312" w:cs="仿宋_GB2312"/>
          <w:color w:val="333333"/>
          <w:sz w:val="32"/>
          <w:szCs w:val="32"/>
          <w:shd w:val="clear" w:color="auto" w:fill="FFFFFF"/>
        </w:rPr>
        <w:t>第五条</w:t>
      </w:r>
      <w:r>
        <w:rPr>
          <w:rFonts w:hint="eastAsia" w:ascii="仿宋_GB2312" w:hAnsi="仿宋_GB2312" w:eastAsia="仿宋_GB2312" w:cs="仿宋_GB2312"/>
          <w:b/>
          <w:color w:val="333333"/>
          <w:sz w:val="32"/>
          <w:szCs w:val="32"/>
          <w:shd w:val="clear" w:color="auto" w:fill="FFFFFF"/>
        </w:rPr>
        <w:t xml:space="preserve"> 交易原则：</w:t>
      </w:r>
    </w:p>
    <w:p w14:paraId="4E54938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（一）依法、自愿、有偿，任何组织和个人不得强迫或者阻碍土地经营权流转；</w:t>
      </w:r>
    </w:p>
    <w:p w14:paraId="1DAC108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（二）不得改变土地所有权的性质和土地的农业用途，不得破坏农业综合生产能力和农业生态环境；</w:t>
      </w:r>
    </w:p>
    <w:p w14:paraId="6D02381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（三）流转期限不得超过承包期的剩余期限；</w:t>
      </w:r>
    </w:p>
    <w:p w14:paraId="092EEE0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受让方</w:t>
      </w:r>
      <w:r>
        <w:rPr>
          <w:rFonts w:ascii="Times New Roman" w:hAnsi="Times New Roman" w:eastAsia="仿宋_GB2312" w:cs="Times New Roman"/>
          <w:sz w:val="32"/>
          <w:szCs w:val="32"/>
        </w:rPr>
        <w:t>须有农业经营能力或者资质；</w:t>
      </w:r>
    </w:p>
    <w:p w14:paraId="686D447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（五）在同等条件下，本集体经济组织成员享有优先权；</w:t>
      </w:r>
    </w:p>
    <w:p w14:paraId="42E7D06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ascii="Times New Roman" w:hAnsi="Times New Roman" w:eastAsia="仿宋_GB2312"/>
          <w:sz w:val="32"/>
          <w:szCs w:val="32"/>
        </w:rPr>
        <w:t>（六）流转交易行为应公开、公平、公正。</w:t>
      </w:r>
    </w:p>
    <w:p w14:paraId="5234184D">
      <w:pPr>
        <w:pStyle w:val="13"/>
        <w:shd w:val="clear" w:color="auto" w:fill="FFFFFF"/>
        <w:spacing w:beforeAutospacing="0" w:afterAutospacing="0" w:line="560" w:lineRule="exact"/>
        <w:ind w:firstLine="643" w:firstLineChars="200"/>
        <w:rPr>
          <w:rFonts w:ascii="仿宋_GB2312" w:hAnsi="仿宋_GB2312" w:eastAsia="仿宋_GB2312" w:cs="仿宋_GB2312"/>
          <w:b/>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第六条 </w:t>
      </w:r>
      <w:r>
        <w:rPr>
          <w:rFonts w:hint="eastAsia" w:ascii="仿宋_GB2312" w:hAnsi="仿宋_GB2312" w:eastAsia="仿宋_GB2312" w:cs="仿宋_GB2312"/>
          <w:b/>
          <w:color w:val="333333"/>
          <w:sz w:val="32"/>
          <w:szCs w:val="32"/>
          <w:shd w:val="clear" w:color="auto" w:fill="FFFFFF"/>
        </w:rPr>
        <w:t>交易基本条件：</w:t>
      </w:r>
    </w:p>
    <w:p w14:paraId="339523F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（一）交易双方必须是具有完全民事权利能力和民事行为能力的自然人、村集体经济组织、法人或其他组织，并具有转出（或受让）农村承包土地经营权的真实意愿；</w:t>
      </w:r>
    </w:p>
    <w:p w14:paraId="7B921E2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（二）农村承包土地经营权权属明晰无争议，权证合法有效；</w:t>
      </w:r>
    </w:p>
    <w:p w14:paraId="2F9B094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（三）受让方应当具有相应的农业经营能力，且为自然人时需年满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18周岁以上、70周岁</w:t>
      </w:r>
      <w:r>
        <w:rPr>
          <w:rFonts w:hint="eastAsia" w:ascii="仿宋_GB2312" w:hAnsi="仿宋_GB2312" w:eastAsia="仿宋_GB2312" w:cs="仿宋_GB2312"/>
          <w:color w:val="333333"/>
          <w:sz w:val="32"/>
          <w:szCs w:val="32"/>
          <w:shd w:val="clear" w:color="auto" w:fill="FFFFFF"/>
        </w:rPr>
        <w:t>以下具有完全民事行为能力；</w:t>
      </w:r>
    </w:p>
    <w:p w14:paraId="69BF6CE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（四）流转交易项目用途符合国家的法律法规、环境保护、农业产业发展规划、土地利用总体规划和城乡一体化建设等政策规定。</w:t>
      </w:r>
    </w:p>
    <w:p w14:paraId="6FC22678">
      <w:pPr>
        <w:pStyle w:val="13"/>
        <w:shd w:val="clear" w:color="auto" w:fill="FFFFFF"/>
        <w:spacing w:beforeAutospacing="0" w:afterAutospacing="0" w:line="560" w:lineRule="exact"/>
        <w:ind w:firstLine="643" w:firstLineChars="200"/>
        <w:rPr>
          <w:rStyle w:val="18"/>
          <w:rFonts w:ascii="仿宋_GB2312" w:hAnsi="仿宋_GB2312" w:eastAsia="仿宋_GB2312" w:cs="仿宋_GB2312"/>
          <w:color w:val="333333"/>
          <w:sz w:val="32"/>
          <w:szCs w:val="32"/>
          <w:shd w:val="clear" w:color="auto" w:fill="FFFFFF"/>
        </w:rPr>
      </w:pPr>
      <w:r>
        <w:rPr>
          <w:rStyle w:val="18"/>
          <w:rFonts w:hint="eastAsia" w:ascii="仿宋_GB2312" w:hAnsi="仿宋_GB2312" w:eastAsia="仿宋_GB2312" w:cs="仿宋_GB2312"/>
          <w:color w:val="333333"/>
          <w:sz w:val="32"/>
          <w:szCs w:val="32"/>
          <w:shd w:val="clear" w:color="auto" w:fill="FFFFFF"/>
        </w:rPr>
        <w:t>第七条 流转方式</w:t>
      </w:r>
    </w:p>
    <w:p w14:paraId="064AC52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农村土地经营权流转交易是指农村土地经营权权利人，依法以转让、转包、互换、出租、入股等方式，将土地经营权流转给其他自然人、法人或机构的行为。</w:t>
      </w:r>
    </w:p>
    <w:p w14:paraId="7D7A30D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转让：承包方经发包方同意，将部分或全部土地承包经营权一次性让渡给本集体经济组织内部的其他农户，由该农户同发包方确定新的承包关系，原承包方与发包方在该土地上的承包关系即行终止。采取出让方式流转的，可向行政主管部门申请变更土地承包经营权证。</w:t>
      </w:r>
    </w:p>
    <w:p w14:paraId="53B1D4B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（二）转包：承包农户将部分或者全部土地经营权在一定期限内流转给</w:t>
      </w:r>
      <w:r>
        <w:rPr>
          <w:rFonts w:hint="eastAsia" w:ascii="仿宋_GB2312" w:hAnsi="仿宋_GB2312" w:eastAsia="仿宋_GB2312" w:cs="仿宋_GB2312"/>
          <w:color w:val="FF0000"/>
          <w:sz w:val="32"/>
          <w:szCs w:val="32"/>
          <w:shd w:val="clear" w:color="auto" w:fill="FFFFFF"/>
        </w:rPr>
        <w:t>本集体经济组织其他成员</w:t>
      </w:r>
      <w:r>
        <w:rPr>
          <w:rFonts w:hint="eastAsia" w:ascii="仿宋_GB2312" w:hAnsi="仿宋_GB2312" w:eastAsia="仿宋_GB2312" w:cs="仿宋_GB2312"/>
          <w:color w:val="333333"/>
          <w:sz w:val="32"/>
          <w:szCs w:val="32"/>
          <w:shd w:val="clear" w:color="auto" w:fill="FFFFFF"/>
        </w:rPr>
        <w:t>，并向发包方备案。转包后，原土地承包关系不变，出让方继续履行原土地承包合同规定的权利义务；转入方取得相应的土地经营权并按照转包合同的约定对出让方负责。</w:t>
      </w:r>
    </w:p>
    <w:p w14:paraId="683989E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互换：本集体经济组织内部承包农户之间为了方便耕种或者各自需要，将土地承包经营权进行交换，并按照互换流转合同的约定对对方负责。采取互换方式流转的，流转双方向发包方备案后可向行政主管部门申请变更土地承包经营权证。</w:t>
      </w:r>
    </w:p>
    <w:p w14:paraId="026C499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（四）出租：出让方将部分或全部土地经营权在一定期限内租赁给本集体经济组织以外的城乡居民或其他农业生产经营主体，并向</w:t>
      </w:r>
      <w:r>
        <w:rPr>
          <w:rFonts w:hint="eastAsia" w:ascii="仿宋_GB2312" w:hAnsi="仿宋_GB2312" w:eastAsia="仿宋_GB2312" w:cs="仿宋_GB2312"/>
          <w:color w:val="FF0000"/>
          <w:sz w:val="32"/>
          <w:szCs w:val="32"/>
          <w:shd w:val="clear" w:color="auto" w:fill="FFFFFF"/>
        </w:rPr>
        <w:t>发包方</w:t>
      </w:r>
      <w:r>
        <w:rPr>
          <w:rFonts w:hint="eastAsia" w:ascii="仿宋_GB2312" w:hAnsi="仿宋_GB2312" w:eastAsia="仿宋_GB2312" w:cs="仿宋_GB2312"/>
          <w:color w:val="333333"/>
          <w:sz w:val="32"/>
          <w:szCs w:val="32"/>
          <w:shd w:val="clear" w:color="auto" w:fill="FFFFFF"/>
        </w:rPr>
        <w:t>备案。受让方取得相应的土地经营权，并按出租流转合同的约定对出让方负责。</w:t>
      </w:r>
    </w:p>
    <w:p w14:paraId="0F4F3A0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（五）作价出资（入股）：农村土地经营权权利人将土地经营权量化为股权，自愿联合组成股份公司或股份合作社等经济组织，进行统一经营，并按照股份流转合同约定履行相应权利和义务，并向发包方备案。</w:t>
      </w:r>
    </w:p>
    <w:p w14:paraId="6D72367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（六）出让方依法通过流转取得的土地经营权，经承包方书面同意，并向本集体经济组织备案后，可再流转土地经营权。</w:t>
      </w:r>
    </w:p>
    <w:p w14:paraId="51A1A51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（七）土地经营权流转期限为五年以上的，当事人可以向登记机构申请土地经营权登记。未经登记的，不得对抗善意第三人。</w:t>
      </w:r>
    </w:p>
    <w:p w14:paraId="41464BA0">
      <w:pPr>
        <w:pStyle w:val="13"/>
        <w:shd w:val="clear" w:color="auto" w:fill="FFFFFF"/>
        <w:spacing w:beforeAutospacing="0" w:afterAutospacing="0" w:line="560" w:lineRule="exact"/>
        <w:ind w:firstLine="643" w:firstLineChars="200"/>
        <w:rPr>
          <w:rStyle w:val="18"/>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w:t>
      </w:r>
      <w:r>
        <w:rPr>
          <w:rFonts w:ascii="Times New Roman" w:hAnsi="Times New Roman" w:eastAsia="仿宋_GB2312"/>
          <w:sz w:val="32"/>
          <w:szCs w:val="32"/>
        </w:rPr>
        <w:t>在</w:t>
      </w:r>
      <w:r>
        <w:rPr>
          <w:rFonts w:hint="eastAsia" w:ascii="Times New Roman" w:hAnsi="Times New Roman" w:eastAsia="仿宋_GB2312"/>
          <w:sz w:val="32"/>
          <w:szCs w:val="32"/>
        </w:rPr>
        <w:t>农交中心</w:t>
      </w:r>
      <w:r>
        <w:rPr>
          <w:rFonts w:ascii="Times New Roman" w:hAnsi="Times New Roman" w:eastAsia="仿宋_GB2312"/>
          <w:sz w:val="32"/>
          <w:szCs w:val="32"/>
        </w:rPr>
        <w:t>进行的农村土地经营权流转可按下列方式进行交易</w:t>
      </w:r>
      <w:r>
        <w:rPr>
          <w:rFonts w:hint="eastAsia" w:ascii="仿宋_GB2312" w:hAnsi="仿宋_GB2312" w:eastAsia="仿宋_GB2312" w:cs="仿宋_GB2312"/>
          <w:color w:val="333333"/>
          <w:sz w:val="32"/>
          <w:szCs w:val="32"/>
          <w:shd w:val="clear" w:color="auto" w:fill="FFFFFF"/>
        </w:rPr>
        <w:t>：协议转出、网络竞价、拍卖、招投标及其他方式。</w:t>
      </w:r>
    </w:p>
    <w:p w14:paraId="40D019C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第九条 </w:t>
      </w:r>
      <w:r>
        <w:rPr>
          <w:rFonts w:hint="eastAsia" w:ascii="仿宋_GB2312" w:hAnsi="仿宋_GB2312" w:eastAsia="仿宋_GB2312" w:cs="仿宋_GB2312"/>
          <w:color w:val="333333"/>
          <w:sz w:val="32"/>
          <w:szCs w:val="32"/>
          <w:shd w:val="clear" w:color="auto" w:fill="FFFFFF"/>
        </w:rPr>
        <w:t>出让方可以直接或委托农村集体经济组织向农交中心提出书面申请，并提交下列材料：</w:t>
      </w:r>
    </w:p>
    <w:p w14:paraId="0A79F3A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（一）有效身份证明，出让方为自然人的，须提供身份证或户口本；出让方为法人或其他组织的，须提供营业执照、组织机构代码证、法定代表人身份证及其他资格证明文件；</w:t>
      </w:r>
    </w:p>
    <w:p w14:paraId="03846FD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（二）转出申请书；</w:t>
      </w:r>
    </w:p>
    <w:p w14:paraId="0AC414E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（三）权属证明材料，包括农村土地承包经营权证、农村土地承包合同、农村土地承包经营权流转合同（再次流转时）等；</w:t>
      </w:r>
    </w:p>
    <w:p w14:paraId="1F61B9E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（四）采取委托方式流转的应当提供农村承包土地经营权（转出）委托书及相关批准转出的文件，包括民主决策档案材料、内部决议及相关批准和备案文件；</w:t>
      </w:r>
    </w:p>
    <w:p w14:paraId="0326B02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（五）再次流转交易的出让方应当提供原出让方同意再次流转的证明和原流转交易的合同（或有效证明），并不得超过合同的剩余期限；</w:t>
      </w:r>
    </w:p>
    <w:p w14:paraId="7E40E06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（六）标的情况说明及土地平面图；</w:t>
      </w:r>
    </w:p>
    <w:p w14:paraId="19EE6CAD">
      <w:pPr>
        <w:pStyle w:val="13"/>
        <w:shd w:val="clear" w:color="auto" w:fill="FFFFFF"/>
        <w:spacing w:beforeAutospacing="0" w:afterAutospacing="0" w:line="560" w:lineRule="exact"/>
        <w:ind w:firstLine="640" w:firstLineChars="200"/>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shd w:val="clear" w:color="auto" w:fill="FFFFFF"/>
        </w:rPr>
        <w:t>（七）需要评估的，须提供评估报告；</w:t>
      </w:r>
      <w:r>
        <w:rPr>
          <w:rFonts w:hint="eastAsia" w:ascii="仿宋_GB2312" w:hAnsi="仿宋_GB2312" w:eastAsia="仿宋_GB2312" w:cs="仿宋_GB2312"/>
          <w:color w:val="333333"/>
          <w:sz w:val="32"/>
          <w:szCs w:val="32"/>
          <w:shd w:val="clear" w:color="auto" w:fill="FFFFFF"/>
          <w:lang w:val="en-US" w:eastAsia="zh-CN"/>
        </w:rPr>
        <w:t xml:space="preserve"> </w:t>
      </w:r>
    </w:p>
    <w:p w14:paraId="6ACBE05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（八）农交中心要求提交的其他材料。</w:t>
      </w:r>
    </w:p>
    <w:p w14:paraId="2A6B66D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以上材料均须提交原件，提交复印件的需验证原件。</w:t>
      </w:r>
    </w:p>
    <w:p w14:paraId="7555272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第十条 </w:t>
      </w:r>
      <w:r>
        <w:rPr>
          <w:rFonts w:hint="eastAsia" w:ascii="仿宋_GB2312" w:hAnsi="仿宋_GB2312" w:eastAsia="仿宋_GB2312" w:cs="仿宋_GB2312"/>
          <w:color w:val="333333"/>
          <w:sz w:val="32"/>
          <w:szCs w:val="32"/>
          <w:shd w:val="clear" w:color="auto" w:fill="FFFFFF"/>
        </w:rPr>
        <w:t>农交中心对转让申请进行登记，并进行审核，审核通过的，农交中心进行信息发布。</w:t>
      </w:r>
    </w:p>
    <w:p w14:paraId="5ECB4C2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第十一条 </w:t>
      </w:r>
      <w:r>
        <w:rPr>
          <w:rFonts w:hint="eastAsia" w:ascii="仿宋_GB2312" w:hAnsi="仿宋_GB2312" w:eastAsia="仿宋_GB2312" w:cs="仿宋_GB2312"/>
          <w:color w:val="333333"/>
          <w:sz w:val="32"/>
          <w:szCs w:val="32"/>
          <w:shd w:val="clear" w:color="auto" w:fill="FFFFFF"/>
        </w:rPr>
        <w:t>农交中心依据出让方提交的《</w:t>
      </w:r>
      <w:r>
        <w:rPr>
          <w:rFonts w:hint="eastAsia" w:ascii="仿宋" w:hAnsi="仿宋" w:eastAsia="仿宋" w:cs="仿宋"/>
          <w:color w:val="000000" w:themeColor="text1"/>
          <w:sz w:val="32"/>
          <w:szCs w:val="32"/>
          <w:shd w:val="clear" w:color="auto" w:fill="FFFFFF"/>
          <w14:textFill>
            <w14:solidFill>
              <w14:schemeClr w14:val="tx1"/>
            </w14:solidFill>
          </w14:textFill>
        </w:rPr>
        <w:t>石</w:t>
      </w:r>
      <w:r>
        <w:rPr>
          <w:rFonts w:hint="eastAsia" w:ascii="___WRD_EMBED_SUB_45" w:hAnsi="___WRD_EMBED_SUB_45" w:eastAsia="___WRD_EMBED_SUB_45" w:cs="___WRD_EMBED_SUB_45"/>
          <w:color w:val="000000" w:themeColor="text1"/>
          <w:sz w:val="32"/>
          <w:szCs w:val="32"/>
          <w:shd w:val="clear" w:color="auto" w:fill="FFFFFF"/>
          <w14:textFill>
            <w14:solidFill>
              <w14:schemeClr w14:val="tx1"/>
            </w14:solidFill>
          </w14:textFill>
        </w:rPr>
        <w:t>门县</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农村承包土地经营权</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委托</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转出申请书</w:t>
      </w:r>
      <w:r>
        <w:rPr>
          <w:rFonts w:hint="eastAsia" w:ascii="仿宋_GB2312" w:hAnsi="仿宋_GB2312" w:eastAsia="仿宋_GB2312" w:cs="仿宋_GB2312"/>
          <w:color w:val="333333"/>
          <w:sz w:val="32"/>
          <w:szCs w:val="32"/>
          <w:shd w:val="clear" w:color="auto" w:fill="FFFFFF"/>
        </w:rPr>
        <w:t>》制作挂牌信息，在农交中心网站进行信息发布，挂牌时间不少于5个工作日，同一交易品种再次流转交易时间间隔不少于5个工作日。</w:t>
      </w:r>
    </w:p>
    <w:p w14:paraId="3836018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意向受让方应在交易项目信息发布期间向农交中心提出书面申请，并提交以下材料，对提交材料的真实性、完整性、合法性、有效性负责：</w:t>
      </w:r>
    </w:p>
    <w:p w14:paraId="0AE5BE8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（一）有效身份证明，意向受让方为自然人的，须提交身份证或者户口本；意向受让方为法人或其他组织的，须提供营业执照、组织机构代码证、法定代表人身份证及其他资格证明文件；</w:t>
      </w:r>
    </w:p>
    <w:p w14:paraId="2ACB587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（二）意向受让申请书；</w:t>
      </w:r>
    </w:p>
    <w:p w14:paraId="560DF77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（三）意向受让方的资信证明；</w:t>
      </w:r>
    </w:p>
    <w:p w14:paraId="70DB847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（四）农交中心要求提交的其他材料。</w:t>
      </w:r>
    </w:p>
    <w:p w14:paraId="3074D8B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以上材料均须提交原件，提交复印件的需验证原件。 </w:t>
      </w:r>
    </w:p>
    <w:p w14:paraId="0DA9B8AC">
      <w:pPr>
        <w:pStyle w:val="13"/>
        <w:shd w:val="clear" w:color="auto" w:fill="FFFFFF"/>
        <w:spacing w:beforeAutospacing="0" w:afterAutospacing="0" w:line="560" w:lineRule="exact"/>
        <w:ind w:firstLine="643" w:firstLineChars="200"/>
        <w:rPr>
          <w:rStyle w:val="18"/>
          <w:rFonts w:ascii="仿宋_GB2312" w:hAnsi="仿宋_GB2312" w:eastAsia="仿宋_GB2312" w:cs="仿宋_GB2312"/>
          <w:color w:val="333333"/>
          <w:sz w:val="32"/>
          <w:szCs w:val="32"/>
          <w:shd w:val="clear" w:color="auto" w:fill="FFFFFF"/>
        </w:rPr>
      </w:pPr>
      <w:r>
        <w:rPr>
          <w:rStyle w:val="18"/>
          <w:rFonts w:hint="eastAsia" w:ascii="仿宋_GB2312" w:hAnsi="仿宋_GB2312" w:eastAsia="仿宋_GB2312" w:cs="仿宋_GB2312"/>
          <w:color w:val="333333"/>
          <w:sz w:val="32"/>
          <w:szCs w:val="32"/>
          <w:shd w:val="clear" w:color="auto" w:fill="FFFFFF"/>
        </w:rPr>
        <w:t xml:space="preserve">第十三条 </w:t>
      </w:r>
      <w:r>
        <w:rPr>
          <w:rStyle w:val="18"/>
          <w:rFonts w:hint="eastAsia" w:ascii="仿宋_GB2312" w:hAnsi="仿宋_GB2312" w:eastAsia="仿宋_GB2312" w:cs="仿宋_GB2312"/>
          <w:b w:val="0"/>
          <w:bCs/>
          <w:color w:val="333333"/>
          <w:sz w:val="32"/>
          <w:szCs w:val="32"/>
          <w:shd w:val="clear" w:color="auto" w:fill="FFFFFF"/>
        </w:rPr>
        <w:t>农村土地经营权流转发生争议或者纠纷，当事人应当依法协商解决；当事人协商不成的，可以请求村民委员会、乡（镇）人民政府调解；当事人不愿协商或者调解不成的，可以向农村土地承包仲裁机构申请仲裁，也可以直接向人民法院起诉。</w:t>
      </w:r>
    </w:p>
    <w:p w14:paraId="431E651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第十四条 </w:t>
      </w:r>
      <w:r>
        <w:rPr>
          <w:rFonts w:hint="eastAsia" w:ascii="仿宋_GB2312" w:hAnsi="仿宋_GB2312" w:eastAsia="仿宋_GB2312" w:cs="仿宋_GB2312"/>
          <w:color w:val="333333"/>
          <w:sz w:val="32"/>
          <w:szCs w:val="32"/>
          <w:shd w:val="clear" w:color="auto" w:fill="FFFFFF"/>
        </w:rPr>
        <w:t>交易流程中的进场交易申请、登记和审核、信息发布与反馈、交易方式和交易保证金、交易款项结算、合同签订、出具产权交易鉴证、中止和终结、争议处理等环节执行农交中心发布的《石门</w:t>
      </w:r>
      <w:r>
        <w:rPr>
          <w:rFonts w:hint="eastAsia" w:ascii="___WRD_EMBED_SUB_45" w:hAnsi="___WRD_EMBED_SUB_45" w:eastAsia="___WRD_EMBED_SUB_45" w:cs="___WRD_EMBED_SUB_45"/>
          <w:color w:val="333333"/>
          <w:sz w:val="32"/>
          <w:szCs w:val="32"/>
          <w:shd w:val="clear" w:color="auto" w:fill="FFFFFF"/>
        </w:rPr>
        <w:t>县</w:t>
      </w:r>
      <w:r>
        <w:rPr>
          <w:rFonts w:hint="eastAsia" w:ascii="仿宋_GB2312" w:hAnsi="仿宋_GB2312" w:eastAsia="仿宋_GB2312" w:cs="仿宋_GB2312"/>
          <w:color w:val="333333"/>
          <w:sz w:val="32"/>
          <w:szCs w:val="32"/>
          <w:shd w:val="clear" w:color="auto" w:fill="FFFFFF"/>
        </w:rPr>
        <w:t>农村产权交易中心农村产权流转交易规则（试行）》和对应的操作细则。</w:t>
      </w:r>
    </w:p>
    <w:p w14:paraId="00181B1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本规则的解释权属于石门县农村产权交易中心。</w:t>
      </w:r>
    </w:p>
    <w:p w14:paraId="3492E91D">
      <w:pPr>
        <w:pStyle w:val="13"/>
        <w:shd w:val="clear" w:color="auto" w:fill="FFFFFF"/>
        <w:spacing w:beforeAutospacing="0" w:afterAutospacing="0" w:line="560" w:lineRule="exact"/>
        <w:ind w:firstLine="643" w:firstLineChars="200"/>
        <w:sectPr>
          <w:pgSz w:w="11906" w:h="16838"/>
          <w:pgMar w:top="1440" w:right="1800" w:bottom="1440" w:left="1800" w:header="851" w:footer="992" w:gutter="0"/>
          <w:pgNumType w:fmt="numberInDash"/>
          <w:cols w:space="425" w:num="1"/>
          <w:docGrid w:type="lines" w:linePitch="312" w:charSpace="0"/>
        </w:sectPr>
      </w:pPr>
      <w:r>
        <w:rPr>
          <w:rStyle w:val="18"/>
          <w:rFonts w:hint="eastAsia" w:ascii="仿宋_GB2312" w:hAnsi="仿宋_GB2312" w:eastAsia="仿宋_GB2312" w:cs="仿宋_GB2312"/>
          <w:color w:val="333333"/>
          <w:sz w:val="32"/>
          <w:szCs w:val="32"/>
          <w:shd w:val="clear" w:color="auto" w:fill="FFFFFF"/>
        </w:rPr>
        <w:t xml:space="preserve">第十六条 </w:t>
      </w:r>
      <w:r>
        <w:rPr>
          <w:rFonts w:hint="eastAsia" w:ascii="仿宋_GB2312" w:hAnsi="仿宋_GB2312" w:eastAsia="仿宋_GB2312" w:cs="仿宋_GB2312"/>
          <w:color w:val="333333"/>
          <w:sz w:val="32"/>
          <w:szCs w:val="32"/>
          <w:shd w:val="clear" w:color="auto" w:fill="FFFFFF"/>
        </w:rPr>
        <w:t>本规则自发布之日起试行。</w:t>
      </w:r>
    </w:p>
    <w:p w14:paraId="78E998C1">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38" w:name="_Toc16875"/>
      <w:bookmarkStart w:id="39" w:name="_Toc25554"/>
      <w:bookmarkStart w:id="40" w:name="_Toc2928"/>
      <w:bookmarkStart w:id="41" w:name="_Toc7103"/>
      <w:bookmarkStart w:id="42" w:name="_Toc7008"/>
      <w:bookmarkStart w:id="43" w:name="_Toc31622"/>
      <w:bookmarkStart w:id="44" w:name="_Toc4188"/>
      <w:bookmarkStart w:id="45" w:name="_Toc23685"/>
      <w:bookmarkStart w:id="46" w:name="_Toc18955"/>
      <w:bookmarkStart w:id="47" w:name="_Toc23155"/>
      <w:bookmarkStart w:id="48" w:name="_Toc31959"/>
      <w:bookmarkStart w:id="49" w:name="_Toc23925"/>
      <w:bookmarkStart w:id="50" w:name="_Toc14449"/>
      <w:bookmarkStart w:id="51" w:name="_Toc22229"/>
      <w:bookmarkStart w:id="52" w:name="_Toc23832"/>
      <w:bookmarkStart w:id="53" w:name="_Toc4757"/>
      <w:bookmarkStart w:id="54" w:name="_Toc15747"/>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001E5C0A">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林权流转交易规则（试行）</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60B2E5A">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p>
    <w:p w14:paraId="27BDA46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PingFangSC-Regular" w:hAnsi="PingFangSC-Regular" w:eastAsia="宋体" w:cs="PingFangSC-Regular"/>
          <w:color w:val="333333"/>
          <w:sz w:val="27"/>
          <w:szCs w:val="27"/>
          <w:shd w:val="clear" w:color="auto" w:fill="FFFFFF"/>
        </w:rPr>
        <w:t xml:space="preserve"> </w:t>
      </w:r>
      <w:r>
        <w:rPr>
          <w:rStyle w:val="18"/>
          <w:rFonts w:ascii="PingFangSC-Regular" w:hAnsi="PingFangSC-Regular" w:eastAsia="PingFangSC-Regular" w:cs="PingFangSC-Regular"/>
          <w:color w:val="333333"/>
          <w:sz w:val="27"/>
          <w:szCs w:val="27"/>
          <w:shd w:val="clear" w:color="auto" w:fill="FFFFFF"/>
        </w:rPr>
        <w:t xml:space="preserve"> </w:t>
      </w:r>
      <w:r>
        <w:rPr>
          <w:rStyle w:val="18"/>
          <w:rFonts w:hint="eastAsia" w:ascii="PingFangSC-Regular" w:hAnsi="PingFangSC-Regular" w:eastAsia="宋体" w:cs="PingFangSC-Regular"/>
          <w:color w:val="333333"/>
          <w:sz w:val="27"/>
          <w:szCs w:val="27"/>
          <w:shd w:val="clear" w:color="auto" w:fill="FFFFFF"/>
        </w:rPr>
        <w:t xml:space="preserve"> </w:t>
      </w:r>
      <w:r>
        <w:rPr>
          <w:rStyle w:val="18"/>
          <w:rFonts w:ascii="PingFangSC-Regular" w:hAnsi="PingFangSC-Regular" w:eastAsia="PingFangSC-Regular" w:cs="PingFangSC-Regular"/>
          <w:color w:val="333333"/>
          <w:sz w:val="27"/>
          <w:szCs w:val="27"/>
          <w:shd w:val="clear" w:color="auto" w:fill="FFFFFF"/>
        </w:rPr>
        <w:t xml:space="preserve"> </w:t>
      </w:r>
      <w:r>
        <w:rPr>
          <w:rStyle w:val="18"/>
          <w:rFonts w:hint="eastAsia" w:ascii="PingFangSC-Regular" w:hAnsi="PingFangSC-Regular" w:eastAsia="宋体" w:cs="PingFangSC-Regular"/>
          <w:color w:val="333333"/>
          <w:sz w:val="27"/>
          <w:szCs w:val="27"/>
          <w:shd w:val="clear" w:color="auto" w:fill="FFFFFF"/>
        </w:rPr>
        <w:t xml:space="preserve"> </w:t>
      </w:r>
      <w:r>
        <w:rPr>
          <w:rStyle w:val="18"/>
          <w:rFonts w:ascii="PingFangSC-Regular" w:hAnsi="PingFangSC-Regular" w:eastAsia="PingFangSC-Regular" w:cs="PingFangSC-Regular"/>
          <w:color w:val="333333"/>
          <w:sz w:val="27"/>
          <w:szCs w:val="27"/>
          <w:shd w:val="clear" w:color="auto" w:fill="FFFFFF"/>
        </w:rPr>
        <w:t xml:space="preserve"> </w:t>
      </w:r>
      <w:r>
        <w:rPr>
          <w:rStyle w:val="18"/>
          <w:rFonts w:hint="eastAsia" w:ascii="仿宋_GB2312" w:hAnsi="仿宋_GB2312" w:eastAsia="仿宋_GB2312" w:cs="仿宋_GB2312"/>
          <w:color w:val="333333"/>
          <w:sz w:val="27"/>
          <w:szCs w:val="27"/>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 xml:space="preserve">第一条 </w:t>
      </w:r>
      <w:r>
        <w:rPr>
          <w:rFonts w:hint="eastAsia" w:ascii="仿宋_GB2312" w:hAnsi="仿宋_GB2312" w:eastAsia="仿宋_GB2312" w:cs="仿宋_GB2312"/>
          <w:color w:val="333333"/>
          <w:sz w:val="32"/>
          <w:szCs w:val="32"/>
          <w:shd w:val="clear" w:color="auto" w:fill="FFFFFF"/>
        </w:rPr>
        <w:t>为规范石门县农村产权交易中心（以下简称“农交中心”）进行的林权流转交易行为，保障交易各方合法权益，维护交易秩序，促进林权有序流转，根据《中华人民共和国民法典》《中华人民共和国土地管理法》《中华人民共和国森林法》《中华人民共和国农村土地承包法》等法律、法规，并依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农村产权流转交易管理办法（试行）》《石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农村产权交易中心农村产权流转交易规则（试行）》，制定本规则。</w:t>
      </w:r>
    </w:p>
    <w:p w14:paraId="3159DDA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第二条</w:t>
      </w:r>
      <w:r>
        <w:rPr>
          <w:rFonts w:hint="eastAsia" w:ascii="仿宋_GB2312" w:hAnsi="仿宋_GB2312" w:eastAsia="仿宋_GB2312" w:cs="仿宋_GB2312"/>
          <w:color w:val="333333"/>
          <w:sz w:val="32"/>
          <w:szCs w:val="32"/>
          <w:shd w:val="clear" w:color="auto" w:fill="FFFFFF"/>
        </w:rPr>
        <w:t xml:space="preserve"> 在农交中心进行的林权流转交易行为，适用本规则。法律、法规和规章另有规定的，从其规定。</w:t>
      </w:r>
    </w:p>
    <w:p w14:paraId="5F99927B">
      <w:pPr>
        <w:pStyle w:val="13"/>
        <w:shd w:val="clear" w:color="auto" w:fill="FFFFFF"/>
        <w:spacing w:beforeAutospacing="0" w:afterAutospacing="0" w:line="560" w:lineRule="exact"/>
        <w:jc w:val="both"/>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第三条</w:t>
      </w:r>
      <w:r>
        <w:rPr>
          <w:rFonts w:hint="eastAsia" w:ascii="仿宋_GB2312" w:hAnsi="仿宋_GB2312" w:eastAsia="仿宋_GB2312" w:cs="仿宋_GB2312"/>
          <w:color w:val="333333"/>
          <w:sz w:val="32"/>
          <w:szCs w:val="32"/>
          <w:shd w:val="clear" w:color="auto" w:fill="FFFFFF"/>
        </w:rPr>
        <w:t xml:space="preserve"> 本规则所称的林权流转是指在不改变林地所有权及林地用途的前提下，林权权利人将其拥有的国家法律法规规定允许流转交易的林地经营权和林木所有权、使用权，依法全部或部分转移给其他公民、法人及其他经济组织的行为。</w:t>
      </w:r>
    </w:p>
    <w:p w14:paraId="21955CB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第四条</w:t>
      </w:r>
      <w:r>
        <w:rPr>
          <w:rFonts w:hint="eastAsia" w:ascii="仿宋_GB2312" w:hAnsi="仿宋_GB2312" w:eastAsia="仿宋_GB2312" w:cs="仿宋_GB2312"/>
          <w:color w:val="333333"/>
          <w:sz w:val="32"/>
          <w:szCs w:val="32"/>
          <w:shd w:val="clear" w:color="auto" w:fill="FFFFFF"/>
        </w:rPr>
        <w:t xml:space="preserve"> 林权流转方式包括承包、转包、出租、转让、入股、作价出资或合作等。</w:t>
      </w:r>
    </w:p>
    <w:p w14:paraId="7A129EC3">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第五条</w:t>
      </w:r>
      <w:r>
        <w:rPr>
          <w:rFonts w:hint="eastAsia" w:ascii="仿宋_GB2312" w:hAnsi="仿宋_GB2312" w:eastAsia="仿宋_GB2312" w:cs="仿宋_GB2312"/>
          <w:color w:val="333333"/>
          <w:sz w:val="32"/>
          <w:szCs w:val="32"/>
          <w:shd w:val="clear" w:color="auto" w:fill="FFFFFF"/>
        </w:rPr>
        <w:t xml:space="preserve"> 林权流转交易应当遵循以下原则：</w:t>
      </w:r>
    </w:p>
    <w:p w14:paraId="3761873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（一）平等协商、自愿、有偿；</w:t>
      </w:r>
    </w:p>
    <w:p w14:paraId="338D23DF">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（二）不得改变林地所有权的性质；</w:t>
      </w:r>
    </w:p>
    <w:p w14:paraId="48A5E22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（三）交易期限不得违反法律规定。</w:t>
      </w:r>
    </w:p>
    <w:p w14:paraId="1EE1B83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第六条</w:t>
      </w:r>
      <w:r>
        <w:rPr>
          <w:rFonts w:hint="eastAsia" w:ascii="仿宋_GB2312" w:hAnsi="仿宋_GB2312" w:eastAsia="仿宋_GB2312" w:cs="仿宋_GB2312"/>
          <w:color w:val="333333"/>
          <w:sz w:val="32"/>
          <w:szCs w:val="32"/>
          <w:shd w:val="clear" w:color="auto" w:fill="FFFFFF"/>
        </w:rPr>
        <w:t xml:space="preserve"> 交易基本条件：</w:t>
      </w:r>
    </w:p>
    <w:p w14:paraId="54655C8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（一）交易双方必须是具有完全民事权利能力和民事行为能力的自然人、独立享有民事权利和承担民事义务的村集体经济组织、法人或其他组织，并具有转出（或受让）的真实意愿；</w:t>
      </w:r>
    </w:p>
    <w:p w14:paraId="4F9C014F">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（二）权属明晰，无权属纠纷；</w:t>
      </w:r>
    </w:p>
    <w:p w14:paraId="2EEB121C">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（三）流转交易项目符合国土空间规划、产业发展规划、环境保护等法律法规政策要求。</w:t>
      </w:r>
    </w:p>
    <w:p w14:paraId="0B2290E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第七条</w:t>
      </w:r>
      <w:r>
        <w:rPr>
          <w:rFonts w:hint="eastAsia" w:ascii="仿宋_GB2312" w:hAnsi="仿宋_GB2312" w:eastAsia="仿宋_GB2312" w:cs="仿宋_GB2312"/>
          <w:color w:val="333333"/>
          <w:sz w:val="32"/>
          <w:szCs w:val="32"/>
          <w:shd w:val="clear" w:color="auto" w:fill="FFFFFF"/>
        </w:rPr>
        <w:t xml:space="preserve"> 出让方可以直接或委托村集体经济组织向农交中心提出书面申请，并提交下列材料：</w:t>
      </w:r>
    </w:p>
    <w:p w14:paraId="481E4B8E">
      <w:pPr>
        <w:pStyle w:val="13"/>
        <w:shd w:val="clear" w:color="auto" w:fill="FFFFFF"/>
        <w:spacing w:beforeAutospacing="0" w:afterAutospacing="0" w:line="560" w:lineRule="exac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有效身份证明。如为自然人的，须提供个人身份证或户口本；如为村集体经济组织的，须提供《农村集体经济组织登记证》、负责人身份证明及身份证；如为组织单位的，须提供工商营业执照副本、组织机构代码证、组织章程、法定代表人（负责人）身份证明及身份证等资料。</w:t>
      </w:r>
    </w:p>
    <w:p w14:paraId="4D456BA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（二）林权转出申请书；</w:t>
      </w:r>
    </w:p>
    <w:p w14:paraId="7B4033D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（三）权属证明材料，包括林权证或采伐证或承包经营权流转合同（再次流转时）或相关部门出具的证明文件等；</w:t>
      </w:r>
    </w:p>
    <w:p w14:paraId="6912C70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（四）采取委托方式流转的应当提供委托书及相关批准转出的文件，包括民主决策档案材料、内部决议及相关批准和备案文件；</w:t>
      </w:r>
    </w:p>
    <w:p w14:paraId="106B443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（五）再次流转交易的出让方应当提供原出让方同意再次流转的证明和原流转交易的合同（或有效证明），并不得超过合同的剩余期限；</w:t>
      </w:r>
    </w:p>
    <w:p w14:paraId="7E24F3E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（六）标的情况说明及平面图；</w:t>
      </w:r>
    </w:p>
    <w:p w14:paraId="6AADE3C5">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（七）需要评估的，须提供评估报告；</w:t>
      </w:r>
    </w:p>
    <w:p w14:paraId="2C07EA5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（八）农交中心要求提交的其他材料。</w:t>
      </w:r>
    </w:p>
    <w:p w14:paraId="46B5C30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以上材料均须提交原件，提交复印件的需提交方加盖公章或签字。</w:t>
      </w:r>
    </w:p>
    <w:p w14:paraId="4608B372">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第八条 </w:t>
      </w:r>
      <w:r>
        <w:rPr>
          <w:rFonts w:hint="eastAsia" w:ascii="仿宋_GB2312" w:hAnsi="仿宋_GB2312" w:eastAsia="仿宋_GB2312" w:cs="仿宋_GB2312"/>
          <w:color w:val="333333"/>
          <w:sz w:val="32"/>
          <w:szCs w:val="32"/>
          <w:shd w:val="clear" w:color="auto" w:fill="FFFFFF"/>
        </w:rPr>
        <w:t>出让方将相关材料提交乡镇（街道）农经管理部门初审（上报）、</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农村产权交易中心审核（备案）</w:t>
      </w:r>
    </w:p>
    <w:p w14:paraId="56D90191">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第九条</w:t>
      </w:r>
      <w:r>
        <w:rPr>
          <w:rFonts w:hint="eastAsia" w:ascii="仿宋_GB2312" w:hAnsi="仿宋_GB2312" w:eastAsia="仿宋_GB2312" w:cs="仿宋_GB2312"/>
          <w:color w:val="333333"/>
          <w:sz w:val="32"/>
          <w:szCs w:val="32"/>
          <w:shd w:val="clear" w:color="auto" w:fill="FFFFFF"/>
        </w:rPr>
        <w:t xml:space="preserve"> 农交中心依据出让方提交的资料制作挂牌信息，在农交中心网站进行信息发布，挂牌时间不得少于5个工作日。</w:t>
      </w:r>
    </w:p>
    <w:p w14:paraId="5E1DF9C1">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第十条 </w:t>
      </w:r>
      <w:r>
        <w:rPr>
          <w:rFonts w:hint="eastAsia" w:ascii="仿宋_GB2312" w:hAnsi="仿宋_GB2312" w:eastAsia="仿宋_GB2312" w:cs="仿宋_GB2312"/>
          <w:color w:val="333333"/>
          <w:sz w:val="32"/>
          <w:szCs w:val="32"/>
          <w:shd w:val="clear" w:color="auto" w:fill="FFFFFF"/>
        </w:rPr>
        <w:t>意向受让方在交易项目信息发布期间可以直接向农交中心提出书面申请，并提交以下材料：</w:t>
      </w:r>
    </w:p>
    <w:p w14:paraId="3F03586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有效身份证明。如为自然人提供个人身份证或户口本；如为公司提供工商营业执照副本、组织机构代码证、法定代表人身份证明及身份证、公司章程等有效证件的复印件；如为其他组织的提供资质证照、负责人身份证明和身份证及相关文件</w:t>
      </w:r>
    </w:p>
    <w:p w14:paraId="7E63217C">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（二）意向受让方的资信证明；</w:t>
      </w:r>
    </w:p>
    <w:p w14:paraId="3C08897C">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（三）需要交纳保证金的，需提交保证金交纳凭证；</w:t>
      </w:r>
    </w:p>
    <w:p w14:paraId="2E8F223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（四）农交中心要求提交的其他材料。</w:t>
      </w:r>
    </w:p>
    <w:p w14:paraId="441FFBA8">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以上材料均须提交原件，提交复印件的需提交方加盖公章或签字。</w:t>
      </w:r>
    </w:p>
    <w:p w14:paraId="1A0642E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第十一条</w:t>
      </w:r>
      <w:r>
        <w:rPr>
          <w:rFonts w:hint="eastAsia" w:ascii="仿宋_GB2312" w:hAnsi="仿宋_GB2312" w:eastAsia="仿宋_GB2312" w:cs="仿宋_GB2312"/>
          <w:color w:val="333333"/>
          <w:sz w:val="32"/>
          <w:szCs w:val="32"/>
          <w:shd w:val="clear" w:color="auto" w:fill="FFFFFF"/>
        </w:rPr>
        <w:t xml:space="preserve"> 意向受让方可以在信息公告规定的时间内到相应地点进行实地考察，了解标的物详细情况。意向受让方一旦参与交易，即表示其已对交易标的物完全了解，视同认可交易标的清单上列明的标的物与实际标的物相符。</w:t>
      </w:r>
    </w:p>
    <w:p w14:paraId="7D41A72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第十二条</w:t>
      </w:r>
      <w:r>
        <w:rPr>
          <w:rFonts w:hint="eastAsia" w:ascii="仿宋_GB2312" w:hAnsi="仿宋_GB2312" w:eastAsia="仿宋_GB2312" w:cs="仿宋_GB2312"/>
          <w:color w:val="333333"/>
          <w:sz w:val="32"/>
          <w:szCs w:val="32"/>
          <w:shd w:val="clear" w:color="auto" w:fill="FFFFFF"/>
        </w:rPr>
        <w:t xml:space="preserve"> 产权转出信息公告期满后，产生两个及以上符合条件的意向受让方的，农交中心按照公告的竞价方式组织或指导实施公开竞价；只产生一个符合条件的意向受让方的，农交中心组织交易双方按挂牌价与买方报价孰高原则直接签约，意向受让方未报价的，农交中心组织交易双方按挂牌价直接签约。涉及第三人依法在同等条件下享有优先受让权的情形，按照有关法律规定执行。</w:t>
      </w:r>
    </w:p>
    <w:p w14:paraId="5AB774F0">
      <w:pPr>
        <w:pStyle w:val="13"/>
        <w:shd w:val="clear" w:color="auto" w:fill="FFFFFF"/>
        <w:spacing w:beforeAutospacing="0" w:afterAutospacing="0" w:line="560" w:lineRule="exact"/>
        <w:jc w:val="both"/>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第十三条</w:t>
      </w:r>
      <w:r>
        <w:rPr>
          <w:rFonts w:hint="eastAsia" w:ascii="仿宋_GB2312" w:hAnsi="仿宋_GB2312" w:eastAsia="仿宋_GB2312" w:cs="仿宋_GB2312"/>
          <w:color w:val="333333"/>
          <w:sz w:val="32"/>
          <w:szCs w:val="32"/>
          <w:shd w:val="clear" w:color="auto" w:fill="FFFFFF"/>
        </w:rPr>
        <w:t xml:space="preserve"> 农交中心依据征集到的意向交易信息确定交易方式并根据属地管理原则分层次组织交易。在农交中心统一组织下，镇（街道）服务站均可以组织交易，交易情况根据实际情况确定。</w:t>
      </w:r>
    </w:p>
    <w:p w14:paraId="4B0E045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第十四条</w:t>
      </w:r>
      <w:r>
        <w:rPr>
          <w:rFonts w:hint="eastAsia" w:ascii="仿宋_GB2312" w:hAnsi="仿宋_GB2312" w:eastAsia="仿宋_GB2312" w:cs="仿宋_GB2312"/>
          <w:color w:val="333333"/>
          <w:sz w:val="32"/>
          <w:szCs w:val="32"/>
          <w:shd w:val="clear" w:color="auto" w:fill="FFFFFF"/>
        </w:rPr>
        <w:t xml:space="preserve"> 公开竞价方式包括协议转出、网络竞价、拍卖、招投标及其他竞价方式。</w:t>
      </w:r>
    </w:p>
    <w:p w14:paraId="73C844D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第十五条</w:t>
      </w:r>
      <w:r>
        <w:rPr>
          <w:rFonts w:hint="eastAsia" w:ascii="仿宋_GB2312" w:hAnsi="仿宋_GB2312" w:eastAsia="仿宋_GB2312" w:cs="仿宋_GB2312"/>
          <w:color w:val="333333"/>
          <w:sz w:val="32"/>
          <w:szCs w:val="32"/>
          <w:shd w:val="clear" w:color="auto" w:fill="FFFFFF"/>
        </w:rPr>
        <w:t xml:space="preserve"> 竞价结束后，农交中心确定受让方后发布成交公示，公示期为3个工作日。在公示期内如有异议的，可向出让方提出异议或向监督部门投诉，涉及中止或终结交易的，按照《石门</w:t>
      </w:r>
      <w:r>
        <w:rPr>
          <w:rFonts w:hint="eastAsia" w:ascii="___WRD_EMBED_SUB_45" w:hAnsi="___WRD_EMBED_SUB_45" w:eastAsia="___WRD_EMBED_SUB_45" w:cs="___WRD_EMBED_SUB_45"/>
          <w:color w:val="333333"/>
          <w:sz w:val="32"/>
          <w:szCs w:val="32"/>
          <w:shd w:val="clear" w:color="auto" w:fill="FFFFFF"/>
        </w:rPr>
        <w:t>县</w:t>
      </w:r>
      <w:r>
        <w:rPr>
          <w:rFonts w:hint="eastAsia" w:ascii="仿宋_GB2312" w:hAnsi="仿宋_GB2312" w:eastAsia="仿宋_GB2312" w:cs="仿宋_GB2312"/>
          <w:color w:val="333333"/>
          <w:sz w:val="32"/>
          <w:szCs w:val="32"/>
          <w:shd w:val="clear" w:color="auto" w:fill="FFFFFF"/>
        </w:rPr>
        <w:t>农村产权交易中心交易项目中止和终结操作细则（试行）》执行。经公示后无异议的，在次日起</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个工作日内组织交易双方签订林权流转交易合同。</w:t>
      </w:r>
    </w:p>
    <w:p w14:paraId="65057C1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第十六条</w:t>
      </w:r>
      <w:r>
        <w:rPr>
          <w:rFonts w:hint="eastAsia" w:ascii="仿宋_GB2312" w:hAnsi="仿宋_GB2312" w:eastAsia="仿宋_GB2312" w:cs="仿宋_GB2312"/>
          <w:color w:val="333333"/>
          <w:sz w:val="32"/>
          <w:szCs w:val="32"/>
          <w:shd w:val="clear" w:color="auto" w:fill="FFFFFF"/>
        </w:rPr>
        <w:t xml:space="preserve"> 交易合同签订后，农交中心向受让方出具《产权交易结算通知书》，受让方将交易价款支付到农交中心指定的结算账户，受让方交纳的交易保证金按照相关约定转为交易价款。</w:t>
      </w:r>
    </w:p>
    <w:p w14:paraId="1E75662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第十七条</w:t>
      </w:r>
      <w:r>
        <w:rPr>
          <w:rFonts w:hint="eastAsia" w:ascii="仿宋_GB2312" w:hAnsi="仿宋_GB2312" w:eastAsia="仿宋_GB2312" w:cs="仿宋_GB2312"/>
          <w:color w:val="333333"/>
          <w:sz w:val="32"/>
          <w:szCs w:val="32"/>
          <w:shd w:val="clear" w:color="auto" w:fill="FFFFFF"/>
        </w:rPr>
        <w:t xml:space="preserve"> 受让方将交易价款支付至农交中心结算账户后，对符合交易价款划出条件的，农交中心向出让方划出交易价款。</w:t>
      </w:r>
    </w:p>
    <w:p w14:paraId="18DDA99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第十八条</w:t>
      </w:r>
      <w:r>
        <w:rPr>
          <w:rFonts w:hint="eastAsia" w:ascii="仿宋_GB2312" w:hAnsi="仿宋_GB2312" w:eastAsia="仿宋_GB2312" w:cs="仿宋_GB2312"/>
          <w:color w:val="333333"/>
          <w:sz w:val="32"/>
          <w:szCs w:val="32"/>
          <w:shd w:val="clear" w:color="auto" w:fill="FFFFFF"/>
        </w:rPr>
        <w:t xml:space="preserve"> 交易双方应当按照农交中心的收费标准支付交易服务费等费用，农交中心在收到服务费用后，出具收费凭证。</w:t>
      </w:r>
    </w:p>
    <w:p w14:paraId="0ABEAB4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第十九条</w:t>
      </w:r>
      <w:r>
        <w:rPr>
          <w:rFonts w:hint="eastAsia" w:ascii="仿宋_GB2312" w:hAnsi="仿宋_GB2312" w:eastAsia="仿宋_GB2312" w:cs="仿宋_GB2312"/>
          <w:color w:val="333333"/>
          <w:sz w:val="32"/>
          <w:szCs w:val="32"/>
          <w:shd w:val="clear" w:color="auto" w:fill="FFFFFF"/>
        </w:rPr>
        <w:t xml:space="preserve"> 产权交易双方签订林权流转交易合同，受让方依据合同约定将交易价款交付至农交中心资金结算账户，且交易双方支付交易服务费用后，农交中心在</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个工作日内出具农村产权交易鉴证。</w:t>
      </w:r>
    </w:p>
    <w:p w14:paraId="4FBE15A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第二十条</w:t>
      </w:r>
      <w:r>
        <w:rPr>
          <w:rFonts w:hint="eastAsia" w:ascii="仿宋_GB2312" w:hAnsi="仿宋_GB2312" w:eastAsia="仿宋_GB2312" w:cs="仿宋_GB2312"/>
          <w:color w:val="333333"/>
          <w:sz w:val="32"/>
          <w:szCs w:val="32"/>
          <w:shd w:val="clear" w:color="auto" w:fill="FFFFFF"/>
        </w:rPr>
        <w:t xml:space="preserve"> 交易行为需要政府有关管理部门批准的，农交中心应当在交易行为获得政府有关部门出具农村产权交易鉴证。</w:t>
      </w:r>
    </w:p>
    <w:p w14:paraId="4A5113A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第二十一条</w:t>
      </w:r>
      <w:r>
        <w:rPr>
          <w:rFonts w:hint="eastAsia" w:ascii="仿宋_GB2312" w:hAnsi="仿宋_GB2312" w:eastAsia="仿宋_GB2312" w:cs="仿宋_GB2312"/>
          <w:color w:val="333333"/>
          <w:sz w:val="32"/>
          <w:szCs w:val="32"/>
          <w:shd w:val="clear" w:color="auto" w:fill="FFFFFF"/>
        </w:rPr>
        <w:t xml:space="preserve"> 交易双方凭农村产权交易鉴证办理标的转让手续。</w:t>
      </w:r>
    </w:p>
    <w:p w14:paraId="236C277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第二十二条</w:t>
      </w:r>
      <w:r>
        <w:rPr>
          <w:rFonts w:hint="eastAsia" w:ascii="仿宋_GB2312" w:hAnsi="仿宋_GB2312" w:eastAsia="仿宋_GB2312" w:cs="仿宋_GB2312"/>
          <w:color w:val="333333"/>
          <w:sz w:val="32"/>
          <w:szCs w:val="32"/>
          <w:shd w:val="clear" w:color="auto" w:fill="FFFFFF"/>
        </w:rPr>
        <w:t xml:space="preserve"> 自林权项目录入起至出具交易鉴证书止，林业主管部门全程监督项目进展过程。</w:t>
      </w:r>
    </w:p>
    <w:p w14:paraId="0733D23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第二十三条</w:t>
      </w:r>
      <w:r>
        <w:rPr>
          <w:rFonts w:hint="eastAsia" w:ascii="仿宋_GB2312" w:hAnsi="仿宋_GB2312" w:eastAsia="仿宋_GB2312" w:cs="仿宋_GB2312"/>
          <w:color w:val="333333"/>
          <w:sz w:val="32"/>
          <w:szCs w:val="32"/>
          <w:shd w:val="clear" w:color="auto" w:fill="FFFFFF"/>
        </w:rPr>
        <w:t xml:space="preserve"> 交易程序中的进场交易、登记、信息发布与反馈、交易方式和交易保证金、交易款项结算、合同签订、出具产权交易鉴证、中止和终结、争议处理等环节执行农交中心发布的《石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农村产权交易中心农村产权流转交易规则（试行）》和对应的交易规则。</w:t>
      </w:r>
    </w:p>
    <w:p w14:paraId="6A1509E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第二十四条</w:t>
      </w:r>
      <w:r>
        <w:rPr>
          <w:rFonts w:hint="eastAsia" w:ascii="仿宋_GB2312" w:hAnsi="仿宋_GB2312" w:eastAsia="仿宋_GB2312" w:cs="仿宋_GB2312"/>
          <w:color w:val="333333"/>
          <w:sz w:val="32"/>
          <w:szCs w:val="32"/>
          <w:shd w:val="clear" w:color="auto" w:fill="FFFFFF"/>
        </w:rPr>
        <w:t xml:space="preserve"> 本规则的解释权和修订权归石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442904E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00" w:lineRule="exact"/>
        <w:textAlignment w:val="auto"/>
        <w:rPr>
          <w:rFonts w:ascii="仿宋_GB2312" w:hAnsi="仿宋_GB2312" w:eastAsia="仿宋_GB2312" w:cs="仿宋_GB2312"/>
          <w:color w:val="333333"/>
          <w:sz w:val="32"/>
          <w:szCs w:val="32"/>
          <w:shd w:val="clear" w:color="auto" w:fill="FFFFFF"/>
        </w:rPr>
      </w:pPr>
      <w:r>
        <w:rPr>
          <w:rStyle w:val="18"/>
          <w:rFonts w:hint="eastAsia" w:ascii="仿宋_GB2312" w:hAnsi="仿宋_GB2312" w:eastAsia="仿宋_GB2312" w:cs="仿宋_GB2312"/>
          <w:color w:val="333333"/>
          <w:sz w:val="32"/>
          <w:szCs w:val="32"/>
          <w:shd w:val="clear" w:color="auto" w:fill="FFFFFF"/>
        </w:rPr>
        <w:t xml:space="preserve">    第二十五条</w:t>
      </w:r>
      <w:r>
        <w:rPr>
          <w:rFonts w:hint="eastAsia" w:ascii="仿宋_GB2312" w:hAnsi="仿宋_GB2312" w:eastAsia="仿宋_GB2312" w:cs="仿宋_GB2312"/>
          <w:color w:val="333333"/>
          <w:sz w:val="32"/>
          <w:szCs w:val="32"/>
          <w:shd w:val="clear" w:color="auto" w:fill="FFFFFF"/>
        </w:rPr>
        <w:t xml:space="preserve"> 本规则自印发之日起执行。</w:t>
      </w:r>
    </w:p>
    <w:p w14:paraId="0153CFC2">
      <w:pPr>
        <w:widowControl/>
        <w:spacing w:line="560" w:lineRule="exact"/>
        <w:ind w:right="-170"/>
        <w:jc w:val="both"/>
        <w:rPr>
          <w:rStyle w:val="18"/>
          <w:rFonts w:hint="eastAsia" w:ascii="方正小标宋简体" w:hAnsi="方正小标宋简体" w:eastAsia="方正小标宋简体" w:cs="方正小标宋简体"/>
          <w:b w:val="0"/>
          <w:bCs/>
          <w:color w:val="333333"/>
          <w:sz w:val="44"/>
          <w:szCs w:val="44"/>
          <w:shd w:val="clear" w:color="auto" w:fill="FFFFFF"/>
        </w:rPr>
      </w:pPr>
      <w:bookmarkStart w:id="55" w:name="_Toc14678"/>
      <w:bookmarkStart w:id="56" w:name="_Toc7747"/>
      <w:bookmarkStart w:id="57" w:name="_Toc22039"/>
      <w:bookmarkStart w:id="58" w:name="_Toc25549"/>
      <w:bookmarkStart w:id="59" w:name="_Toc8890"/>
      <w:bookmarkStart w:id="60" w:name="_Toc11710"/>
      <w:bookmarkStart w:id="61" w:name="_Toc10896"/>
      <w:bookmarkStart w:id="62" w:name="_Toc22399"/>
      <w:bookmarkStart w:id="63" w:name="_Toc30474"/>
      <w:bookmarkStart w:id="64" w:name="_Toc20647"/>
      <w:bookmarkStart w:id="65" w:name="_Toc31529"/>
      <w:bookmarkStart w:id="66" w:name="_Toc27099"/>
      <w:bookmarkStart w:id="67" w:name="_Toc23151"/>
      <w:bookmarkStart w:id="68" w:name="_Toc6753"/>
      <w:bookmarkStart w:id="69" w:name="_Toc6522"/>
      <w:bookmarkStart w:id="70" w:name="_Toc4762"/>
      <w:bookmarkStart w:id="71" w:name="_Toc1787"/>
    </w:p>
    <w:p w14:paraId="10706C5C">
      <w:pPr>
        <w:widowControl/>
        <w:spacing w:line="560" w:lineRule="exact"/>
        <w:ind w:right="-170"/>
        <w:jc w:val="center"/>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5EE39977">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农村集体资源性资产交易规则（试行）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78A7392">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p>
    <w:p w14:paraId="5C8358E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第一条 </w:t>
      </w:r>
      <w:r>
        <w:rPr>
          <w:rFonts w:hint="eastAsia" w:ascii="仿宋_GB2312" w:hAnsi="仿宋_GB2312" w:eastAsia="仿宋_GB2312" w:cs="仿宋_GB2312"/>
          <w:color w:val="333333"/>
          <w:sz w:val="32"/>
          <w:szCs w:val="32"/>
          <w:shd w:val="clear" w:color="auto" w:fill="FFFFFF"/>
        </w:rPr>
        <w:t>为规范农村集体资源性资产交易行为，保护农村集体所有者和经营者的合法权益，维护农村产权交易</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场秩序，根据《中华人民共和国土地管理法》《中华人民共和国农村土地承包法》《中华人民共和国民法典》等相关法律法规和政策规定并依据《石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农村产权农村交易中心农村产权交易规则（试行）》制定本规则。</w:t>
      </w:r>
    </w:p>
    <w:p w14:paraId="35F6544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农村产权交易中心（以下简称“农交中心”）进行的集体资源性资产流转交易活动，适用本规则。</w:t>
      </w:r>
    </w:p>
    <w:p w14:paraId="460B469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第三条 </w:t>
      </w:r>
      <w:r>
        <w:rPr>
          <w:rFonts w:hint="eastAsia" w:ascii="仿宋_GB2312" w:hAnsi="仿宋_GB2312" w:eastAsia="仿宋_GB2312" w:cs="仿宋_GB2312"/>
          <w:color w:val="333333"/>
          <w:sz w:val="32"/>
          <w:szCs w:val="32"/>
          <w:shd w:val="clear" w:color="auto" w:fill="FFFFFF"/>
        </w:rPr>
        <w:t>农村集体资源性资产是指农村集体经济组织成员所有的耕地、设施农用地、“四荒地”（荒山、荒沟、荒丘、荒滩）、农田水利用地、鱼池、坑塘水面等资源性资产的使用权。</w:t>
      </w:r>
    </w:p>
    <w:p w14:paraId="39A0B85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集体资源性资产流转交易应当遵循以下原则：</w:t>
      </w:r>
    </w:p>
    <w:p w14:paraId="65CBFFF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（一）平等协商、自愿、有偿，任何组织和个人不得强迫或者阻碍承包方进行资源性资产使用权流转；</w:t>
      </w:r>
    </w:p>
    <w:p w14:paraId="5E27D9A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（二）不得改变土地所有权的性质；</w:t>
      </w:r>
    </w:p>
    <w:p w14:paraId="39D5F8F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（三）流转的期限不得超过承包期的剩余期限；</w:t>
      </w:r>
    </w:p>
    <w:p w14:paraId="60BC198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（四）在同等条件下，本集体经济组织成员享有优先权。</w:t>
      </w:r>
    </w:p>
    <w:p w14:paraId="2B2B4F8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集体资源性资产交易是指通过招标、拍卖、公开协商等其他方式发包资源性资产使用权，或者通过招标、拍卖、公开协商等其他方式取得资源性资产使用权后的转让、出租、入股、抵押等方式流转交易及再流转的行为。</w:t>
      </w:r>
    </w:p>
    <w:p w14:paraId="37974DA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集体资源性资产交易范围包括：</w:t>
      </w:r>
    </w:p>
    <w:p w14:paraId="4289F3E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农村集体经济组织以其他方式发包资源性资产使用权，要制定发包方案，发包方案须在本集体经济组织内公示，经本集体经济组织三分之二以上成员或者三分之二以上村民代表同意并报乡镇、区县农经管理部门批准后，采取招标、拍卖或公开协商等形式公开发包。</w:t>
      </w:r>
    </w:p>
    <w:p w14:paraId="415FAE2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（二）通过其他方式承包集体资源性资产且经依法登记取得农村土地承包经营权证的权利人，在承包期限之内采取转让、出租、入股、抵押等方式流转交易资源性资产使用权；</w:t>
      </w:r>
    </w:p>
    <w:p w14:paraId="0EA8ECF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（三）已流转资源性资产使用权的再流转。以转包、出租方式流转的资源性资产使用权实行再流转，须原承包方和发包方同意。</w:t>
      </w:r>
    </w:p>
    <w:p w14:paraId="01971DD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集体资源性资产流转交易可以采取下列方式进行：</w:t>
      </w:r>
    </w:p>
    <w:p w14:paraId="1D617D3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（一）协议出让；</w:t>
      </w:r>
    </w:p>
    <w:p w14:paraId="400E010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（二）拍卖；</w:t>
      </w:r>
    </w:p>
    <w:p w14:paraId="744A182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（三）招标；</w:t>
      </w:r>
    </w:p>
    <w:p w14:paraId="598EB2D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（四）国家法律、法规规定的其他方式。</w:t>
      </w:r>
    </w:p>
    <w:p w14:paraId="5270C8C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第八条 </w:t>
      </w:r>
      <w:r>
        <w:rPr>
          <w:rFonts w:hint="eastAsia" w:ascii="仿宋_GB2312" w:hAnsi="仿宋_GB2312" w:eastAsia="仿宋_GB2312" w:cs="仿宋_GB2312"/>
          <w:color w:val="333333"/>
          <w:sz w:val="32"/>
          <w:szCs w:val="32"/>
          <w:shd w:val="clear" w:color="auto" w:fill="FFFFFF"/>
        </w:rPr>
        <w:t>禁止流转交易的情形：</w:t>
      </w:r>
    </w:p>
    <w:p w14:paraId="4BD3B49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（一）权属不合法、不明晰或有争议的；</w:t>
      </w:r>
    </w:p>
    <w:p w14:paraId="13C2E79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（二）承包方转让资源性资产的承包经营权未经发包方村民大会或村民代表大会同意流转交易的；</w:t>
      </w:r>
    </w:p>
    <w:p w14:paraId="373B0ED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（三）其他限制农村土地承包经营权流转交易的情形。</w:t>
      </w:r>
    </w:p>
    <w:p w14:paraId="6FB5A53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第九条 </w:t>
      </w:r>
      <w:r>
        <w:rPr>
          <w:rFonts w:hint="eastAsia" w:ascii="仿宋_GB2312" w:hAnsi="仿宋_GB2312" w:eastAsia="仿宋_GB2312" w:cs="仿宋_GB2312"/>
          <w:color w:val="333333"/>
          <w:sz w:val="32"/>
          <w:szCs w:val="32"/>
          <w:shd w:val="clear" w:color="auto" w:fill="FFFFFF"/>
        </w:rPr>
        <w:t>交易基本条件：</w:t>
      </w:r>
    </w:p>
    <w:p w14:paraId="2690685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（一）交易双方必须是具有完全民事权利能力和民事行为能力的自然人、村集体经济组织、法人或其他组织，并具有真实意愿，且受让方为自然人时需年满18周岁以上、70周岁以下具有完全民事行为能力；</w:t>
      </w:r>
    </w:p>
    <w:p w14:paraId="0D002D3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（二）权属明晰，权证合法有效；</w:t>
      </w:r>
    </w:p>
    <w:p w14:paraId="5AD3A61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（三）受让方应当具有相应的农业经营能力；</w:t>
      </w:r>
    </w:p>
    <w:p w14:paraId="0497BE0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（四）流转交易项目符合国家的法律法规、环境保护、农业产业发展规划、土地利用总体规划和城乡一体化建设等政策规定。</w:t>
      </w:r>
    </w:p>
    <w:p w14:paraId="4C614405">
      <w:pPr>
        <w:pStyle w:val="13"/>
        <w:shd w:val="clear" w:color="auto" w:fill="FFFFFF"/>
        <w:spacing w:beforeAutospacing="0" w:afterAutospacing="0" w:line="560" w:lineRule="exact"/>
        <w:ind w:firstLine="643" w:firstLineChars="200"/>
        <w:jc w:val="both"/>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第十条 </w:t>
      </w:r>
      <w:r>
        <w:rPr>
          <w:rFonts w:hint="eastAsia" w:ascii="仿宋_GB2312" w:hAnsi="仿宋_GB2312" w:eastAsia="仿宋_GB2312" w:cs="仿宋_GB2312"/>
          <w:color w:val="333333"/>
          <w:sz w:val="32"/>
          <w:szCs w:val="32"/>
          <w:shd w:val="clear" w:color="auto" w:fill="FFFFFF"/>
        </w:rPr>
        <w:t>出让方可以直接或通过经纪会员向农交中心提出书面申请，并提交下列材料：</w:t>
      </w:r>
    </w:p>
    <w:p w14:paraId="4A7B3FD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（一）有效身份证明，出让方为自然人的，须提供身份证或户口本；出让方为法人或其他组织的，须提供营业执照、组织机构代码证、法定代表人身份证及其他资格证明文件；</w:t>
      </w:r>
    </w:p>
    <w:p w14:paraId="754E0F7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（二）转出申请书；</w:t>
      </w:r>
    </w:p>
    <w:p w14:paraId="4EB571E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（三）权属证明材料，包括农村土地承包经营权证、农村土地承包合同、农村土地承包经营权流转合同（再次流转时）等；</w:t>
      </w:r>
    </w:p>
    <w:p w14:paraId="21DF5AA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（四）批准发包转出的文件，包括民主决策档案材料、内部决议及相关批准和备案文件；</w:t>
      </w:r>
    </w:p>
    <w:p w14:paraId="10A560D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（五）再次流转交易的出让方应当提供原出让方同意再次流转的证明和原流转交易的合同（或有效证明），并不得超过合同的剩余期限；</w:t>
      </w:r>
    </w:p>
    <w:p w14:paraId="33808CA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（六）标的情况说明；</w:t>
      </w:r>
    </w:p>
    <w:p w14:paraId="65A0516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（七）需要评估的，须提供评估报告；</w:t>
      </w:r>
    </w:p>
    <w:p w14:paraId="5260F1B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（八）农交中心要求提交的其他材料。</w:t>
      </w:r>
    </w:p>
    <w:p w14:paraId="6C25732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以上材料均须提交原件，提交复印件的需验证原件。</w:t>
      </w:r>
    </w:p>
    <w:p w14:paraId="73C0C86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第十一条 </w:t>
      </w:r>
      <w:r>
        <w:rPr>
          <w:rFonts w:hint="eastAsia" w:ascii="仿宋_GB2312" w:hAnsi="仿宋_GB2312" w:eastAsia="仿宋_GB2312" w:cs="仿宋_GB2312"/>
          <w:color w:val="333333"/>
          <w:sz w:val="32"/>
          <w:szCs w:val="32"/>
          <w:shd w:val="clear" w:color="auto" w:fill="FFFFFF"/>
        </w:rPr>
        <w:t>农村集体资源性资产转出过程中，集体经济组织内部成员有权行使优先权的，应当向农交中心提交证明材料，依照农交中心交易规则参与竞买。</w:t>
      </w:r>
    </w:p>
    <w:p w14:paraId="45D4509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第十二条 </w:t>
      </w:r>
      <w:r>
        <w:rPr>
          <w:rFonts w:hint="eastAsia" w:ascii="仿宋_GB2312" w:hAnsi="仿宋_GB2312" w:eastAsia="仿宋_GB2312" w:cs="仿宋_GB2312"/>
          <w:color w:val="333333"/>
          <w:sz w:val="32"/>
          <w:szCs w:val="32"/>
          <w:shd w:val="clear" w:color="auto" w:fill="FFFFFF"/>
        </w:rPr>
        <w:t>农交中心对转让申请进行登记，并将相关材料提交乡镇、区县两级农经管理部门进行审核，审核通过的，农交中心</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级平台进行信息发布。</w:t>
      </w:r>
    </w:p>
    <w:p w14:paraId="7D2557F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第十三条 </w:t>
      </w:r>
      <w:r>
        <w:rPr>
          <w:rFonts w:hint="eastAsia" w:ascii="仿宋_GB2312" w:hAnsi="仿宋_GB2312" w:eastAsia="仿宋_GB2312" w:cs="仿宋_GB2312"/>
          <w:color w:val="333333"/>
          <w:sz w:val="32"/>
          <w:szCs w:val="32"/>
          <w:shd w:val="clear" w:color="auto" w:fill="FFFFFF"/>
        </w:rPr>
        <w:t>农交中心依据出让方提交的相关材料进行信息录入，并经审核通过在农交中心网站进行信息发布，挂牌时间不得少于5日。同一交易品种再次流转交易的时间间隔不得少于5个交易日。</w:t>
      </w:r>
    </w:p>
    <w:p w14:paraId="1CADBDF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第十四条 </w:t>
      </w:r>
      <w:r>
        <w:rPr>
          <w:rFonts w:hint="eastAsia" w:ascii="仿宋_GB2312" w:hAnsi="仿宋_GB2312" w:eastAsia="仿宋_GB2312" w:cs="仿宋_GB2312"/>
          <w:color w:val="333333"/>
          <w:sz w:val="32"/>
          <w:szCs w:val="32"/>
          <w:shd w:val="clear" w:color="auto" w:fill="FFFFFF"/>
        </w:rPr>
        <w:t>意向受让方应在交易项目信息发布期间直接或通过经纪会员向农交中心提出书面申请，并提交以下材料：</w:t>
      </w:r>
    </w:p>
    <w:p w14:paraId="505E393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（一）有效身份证明，意向受让方为自然人的，须提交身份证或者户口本；意向受让方为法人或其他组织的，须提供营业执照、组织机构代码证、法定代表人身份证及其他资格证明文件；</w:t>
      </w:r>
    </w:p>
    <w:p w14:paraId="49C52C6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（二）意向受让方的资信证明；</w:t>
      </w:r>
    </w:p>
    <w:p w14:paraId="2C451AD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（三）农交中心要求提交的其他材料。</w:t>
      </w:r>
    </w:p>
    <w:p w14:paraId="7223CFD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以上材料均须提交原件，提交复印件的需验证原件。 </w:t>
      </w:r>
    </w:p>
    <w:p w14:paraId="62E9899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第十五条 </w:t>
      </w:r>
      <w:r>
        <w:rPr>
          <w:rFonts w:hint="eastAsia" w:ascii="仿宋_GB2312" w:hAnsi="仿宋_GB2312" w:eastAsia="仿宋_GB2312" w:cs="仿宋_GB2312"/>
          <w:color w:val="333333"/>
          <w:sz w:val="32"/>
          <w:szCs w:val="32"/>
          <w:shd w:val="clear" w:color="auto" w:fill="FFFFFF"/>
        </w:rPr>
        <w:t>交易流程中的进场交易申请、登记和审核、信息发布与反馈、交易方式和交易保证金、交易款项结算、合同签订、出具产权交易鉴证、中止和终结、争议处理等环节执行农交中心发布的《石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农村产权交易中心农村产权流转交易规则（试行）》和对应的操作细则。</w:t>
      </w:r>
    </w:p>
    <w:p w14:paraId="344FD33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第十六条 </w:t>
      </w:r>
      <w:r>
        <w:rPr>
          <w:rFonts w:hint="eastAsia" w:ascii="仿宋_GB2312" w:hAnsi="仿宋_GB2312" w:eastAsia="仿宋_GB2312" w:cs="仿宋_GB2312"/>
          <w:color w:val="333333"/>
          <w:sz w:val="32"/>
          <w:szCs w:val="32"/>
          <w:shd w:val="clear" w:color="auto" w:fill="FFFFFF"/>
        </w:rPr>
        <w:t>本规则的解释权属于石门县农村产权交易中心。</w:t>
      </w:r>
    </w:p>
    <w:p w14:paraId="696407F3">
      <w:pPr>
        <w:pStyle w:val="13"/>
        <w:shd w:val="clear" w:color="auto" w:fill="FFFFFF"/>
        <w:spacing w:beforeAutospacing="0" w:afterAutospacing="0" w:line="560" w:lineRule="exact"/>
        <w:ind w:firstLine="643" w:firstLineChars="200"/>
        <w:rPr>
          <w:rFonts w:ascii="仿宋_GB2312" w:hAnsi="仿宋_GB2312" w:eastAsia="仿宋_GB2312" w:cs="仿宋_GB2312"/>
        </w:rPr>
        <w:sectPr>
          <w:pgSz w:w="11906" w:h="16838"/>
          <w:pgMar w:top="1440" w:right="1800" w:bottom="1440" w:left="1800" w:header="851" w:footer="992" w:gutter="0"/>
          <w:pgNumType w:fmt="numberInDash"/>
          <w:cols w:space="425" w:num="1"/>
          <w:docGrid w:type="lines" w:linePitch="312" w:charSpace="0"/>
        </w:sectPr>
      </w:pPr>
      <w:r>
        <w:rPr>
          <w:rStyle w:val="18"/>
          <w:rFonts w:hint="eastAsia" w:ascii="仿宋_GB2312" w:hAnsi="仿宋_GB2312" w:eastAsia="仿宋_GB2312" w:cs="仿宋_GB2312"/>
          <w:color w:val="333333"/>
          <w:sz w:val="32"/>
          <w:szCs w:val="32"/>
          <w:shd w:val="clear" w:color="auto" w:fill="FFFFFF"/>
        </w:rPr>
        <w:t xml:space="preserve">第十七条 </w:t>
      </w:r>
      <w:r>
        <w:rPr>
          <w:rFonts w:hint="eastAsia" w:ascii="仿宋_GB2312" w:hAnsi="仿宋_GB2312" w:eastAsia="仿宋_GB2312" w:cs="仿宋_GB2312"/>
          <w:color w:val="333333"/>
          <w:sz w:val="32"/>
          <w:szCs w:val="32"/>
          <w:shd w:val="clear" w:color="auto" w:fill="FFFFFF"/>
        </w:rPr>
        <w:t>本规则自发布之日起试</w:t>
      </w:r>
    </w:p>
    <w:p w14:paraId="23459E29">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72" w:name="_Toc12330"/>
      <w:bookmarkStart w:id="73" w:name="_Toc16081"/>
      <w:bookmarkStart w:id="74" w:name="_Toc30037"/>
      <w:bookmarkStart w:id="75" w:name="_Toc69"/>
      <w:bookmarkStart w:id="76" w:name="_Toc7217"/>
      <w:bookmarkStart w:id="77" w:name="_Toc12923"/>
      <w:bookmarkStart w:id="78" w:name="_Toc5210"/>
      <w:bookmarkStart w:id="79" w:name="_Toc17852"/>
      <w:bookmarkStart w:id="80" w:name="_Toc23705"/>
      <w:bookmarkStart w:id="81" w:name="_Toc25113"/>
      <w:bookmarkStart w:id="82" w:name="_Toc8818"/>
      <w:bookmarkStart w:id="83" w:name="_Toc5767"/>
      <w:bookmarkStart w:id="84" w:name="_Toc11302"/>
      <w:bookmarkStart w:id="85" w:name="_Toc18212"/>
      <w:bookmarkStart w:id="86" w:name="_Toc19244"/>
      <w:bookmarkStart w:id="87" w:name="_Toc22292"/>
      <w:bookmarkStart w:id="88" w:name="_Toc27234"/>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392413B9">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农村经营性资产交易规则（试行）</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259B170">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p>
    <w:p w14:paraId="38157B0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农村经营性资产交易活动，保障交易各方的合法权益，维护交易秩序，根据《中华人民共和国民法典》《中华人民共和国农村土地承包法》等法律、法规并依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农村产权交易中心农村产权流转交易规则（试行）》制定本规则。</w:t>
      </w:r>
    </w:p>
    <w:p w14:paraId="2B1D4E5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在农交中心进行的经营性资产交易活动，适用本规则。法律、法规和规章另有规定的，从其规定。</w:t>
      </w:r>
    </w:p>
    <w:p w14:paraId="1E539CE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本规则所称经营性资产是指农村集体、自然人、法人或其他组织所拥有的下列资产：</w:t>
      </w:r>
    </w:p>
    <w:p w14:paraId="08B6107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（一）房地产、机械设备、物品、存货、农业生产资料、农用交通运输工具等具有物质形态的资产（不含土地）；</w:t>
      </w:r>
    </w:p>
    <w:p w14:paraId="4BA2B64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（二）投资的企业中，按照投资份额拥有的资产股权和增值的资产权益；</w:t>
      </w:r>
    </w:p>
    <w:p w14:paraId="3C3827E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（三）商标权、专利权、著作权等无形资产；</w:t>
      </w:r>
    </w:p>
    <w:p w14:paraId="515F756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（四）法律、法规规定能够进行交易的其他经营性资产。</w:t>
      </w:r>
    </w:p>
    <w:p w14:paraId="5628AC6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经营性资产交易应当遵循民主决策、平等自愿、诚实信用、等价有偿和公开、公平、公正的原则，不得侵犯集体或他人的合法权益和损害社会公共利益。</w:t>
      </w:r>
    </w:p>
    <w:p w14:paraId="716A515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交易基本条件：</w:t>
      </w:r>
    </w:p>
    <w:p w14:paraId="16BF6EB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交易双方必须是具有完全民事权利能力和民事行为能力的自然人、法人或其他组织，并具有转让（或受让）实物资产的真实意愿，且受让方为自然人时需年满18周岁以上、70周岁以下具有完全民事行为能力；</w:t>
      </w:r>
    </w:p>
    <w:p w14:paraId="490742E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（二）权属明晰，且合法有效；</w:t>
      </w:r>
    </w:p>
    <w:p w14:paraId="369EDC1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（三）转让或受让已履行民主决策或内部决策程序；</w:t>
      </w:r>
    </w:p>
    <w:p w14:paraId="076DD9A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农村集体经济组织所拥有的经营性资产实行承包、租赁、参股、联营、合资和合作经营的，进行资产拍卖、转让等产权变更的，进行资产抵押以及其他担保的，农村集体经济组织应当委托依法设立的资产评估机构进行资产评估，并经本集体经济组织成员会议或者其代表会议确认，法律、法规有其他规定的，依照法律、法规的规定；</w:t>
      </w:r>
    </w:p>
    <w:p w14:paraId="1C430B0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（五）农村集体经济组织取得、变更或者终止经营性资产所有权，交易价格以资产评估机构估值为依据，并经村民会议三分之二以上成员或者三分之二以上村民代表审议通过；</w:t>
      </w:r>
    </w:p>
    <w:p w14:paraId="530B941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（六）自然人、法人或其他组织所拥有的经营性资产进行交易，应按照法律、法规的规定履行必要的内部决策程序，依法需要进行资产评估的，应按照规定委托依法设立的资产评估机构进行评估。</w:t>
      </w:r>
    </w:p>
    <w:p w14:paraId="7E3E04A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（七）符合法律、法规和规章中关于经营性资产转让或受让的规定。</w:t>
      </w:r>
    </w:p>
    <w:p w14:paraId="2C4699D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第六条 </w:t>
      </w:r>
      <w:r>
        <w:rPr>
          <w:rFonts w:hint="eastAsia" w:ascii="仿宋_GB2312" w:hAnsi="仿宋_GB2312" w:eastAsia="仿宋_GB2312" w:cs="仿宋_GB2312"/>
          <w:color w:val="333333"/>
          <w:sz w:val="32"/>
          <w:szCs w:val="32"/>
          <w:shd w:val="clear" w:color="auto" w:fill="FFFFFF"/>
        </w:rPr>
        <w:t>农交中心对转让申请进行登记，并将相关材料提交乡镇、区县两级农经管理部门进行审核，审核通过的，农交中心进行信息发布。</w:t>
      </w:r>
    </w:p>
    <w:p w14:paraId="2B88DF7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出让方可以直接或通过经纪会员向农交中心提出书面申请，并提交下列材料：</w:t>
      </w:r>
    </w:p>
    <w:p w14:paraId="3CF0C21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（一）营业执照、组织机构代码证；</w:t>
      </w:r>
    </w:p>
    <w:p w14:paraId="7B522C7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（二）转出申请书；</w:t>
      </w:r>
    </w:p>
    <w:p w14:paraId="1A7FC73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（三）农村集体经济组织村民会议三分之二以上成员或者三分之二以上村民代表通过的民主决议书；</w:t>
      </w:r>
    </w:p>
    <w:p w14:paraId="330A4CA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（四）内部决策文件；</w:t>
      </w:r>
    </w:p>
    <w:p w14:paraId="2D2B0A3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（五）标的权属证明材料；</w:t>
      </w:r>
    </w:p>
    <w:p w14:paraId="6734BE1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（六）标的资产评估报告；</w:t>
      </w:r>
    </w:p>
    <w:p w14:paraId="6D6E7DA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（七）标的有共有权人或他项权利人的，相关权利人同意转让的证明材料；</w:t>
      </w:r>
    </w:p>
    <w:p w14:paraId="42D874E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（八）农交中心要求提交的其他材料。</w:t>
      </w:r>
    </w:p>
    <w:p w14:paraId="050A4D3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标的权属关系复杂的，农交中心可要求出让方就转让事项提交法律意见书。</w:t>
      </w:r>
    </w:p>
    <w:p w14:paraId="774000E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以上材料均须提交原件，提交复印件的需验证原件。</w:t>
      </w:r>
    </w:p>
    <w:p w14:paraId="6D6F8F4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标的为房地产的，权属证明材料包括土地使用权证、房屋所有权证、其他具有法律效力的权属证明文件等。</w:t>
      </w:r>
    </w:p>
    <w:p w14:paraId="6BD8B69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农交中心依据出让方提交的相关材料进行信息录入，并经审核通过在农交中心网站进行信息发布，挂牌时间不得少于5日。同一交易品种再次流转交易的时间间隔不得少于5个交易日。</w:t>
      </w:r>
    </w:p>
    <w:p w14:paraId="73E28FC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资产交易过程中，依法拥有资产优先权的自然人、法人及其他组织行使优先权的，应当向农交中心提交权属证明材料，依照农交中心交易规则参与竞买。</w:t>
      </w:r>
    </w:p>
    <w:p w14:paraId="55B3CBE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意向受让方应在交易项目信息发布期间直接或通过经纪会员向农交中心提出书面申请，并提交以下材料：</w:t>
      </w:r>
    </w:p>
    <w:p w14:paraId="6DA1E5F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（一）有效身份证明，意向受让方为自然人的，须提供身份证或者户口簿；意向受让方为法人或其他组织的，须提供营业执照、组织机构代码证、法定代表人身份证及其他资格证明文件；</w:t>
      </w:r>
    </w:p>
    <w:p w14:paraId="7700CD8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（二）受让申请书；</w:t>
      </w:r>
    </w:p>
    <w:p w14:paraId="74DADF0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（三）意向受让方的资信证明；</w:t>
      </w:r>
    </w:p>
    <w:p w14:paraId="0BAC22E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（四）农交中心要求提交的其他材料。</w:t>
      </w:r>
    </w:p>
    <w:p w14:paraId="65C3093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以上材料均须提交原件，提交复印件的需验证原件。</w:t>
      </w:r>
    </w:p>
    <w:p w14:paraId="0646AB3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第十二条 </w:t>
      </w:r>
      <w:r>
        <w:rPr>
          <w:rFonts w:hint="eastAsia" w:ascii="仿宋_GB2312" w:hAnsi="仿宋_GB2312" w:eastAsia="仿宋_GB2312" w:cs="仿宋_GB2312"/>
          <w:color w:val="333333"/>
          <w:sz w:val="32"/>
          <w:szCs w:val="32"/>
          <w:shd w:val="clear" w:color="auto" w:fill="FFFFFF"/>
        </w:rPr>
        <w:t>交易程序中的进场交易、登记和审核、信息发布与反馈、交易方式和交易保证金、交易款项结算、合同签订、出具产权交易鉴证、中止和终结、争议处理等环节执行农交中心发布的《石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农村产权交易中心农村产权流转交易规则（试行）》和对应的交易规则。</w:t>
      </w:r>
    </w:p>
    <w:p w14:paraId="602394C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第十三条 </w:t>
      </w:r>
      <w:r>
        <w:rPr>
          <w:rFonts w:hint="eastAsia" w:ascii="仿宋_GB2312" w:hAnsi="仿宋_GB2312" w:eastAsia="仿宋_GB2312" w:cs="仿宋_GB2312"/>
          <w:color w:val="333333"/>
          <w:sz w:val="32"/>
          <w:szCs w:val="32"/>
          <w:shd w:val="clear" w:color="auto" w:fill="FFFFFF"/>
        </w:rPr>
        <w:t>乡镇（街道）农村产权交易服务站对转让申请进行登记、审核，审核通过的，出让方与乡镇（街道）农村产权交易服务站签署《委托交易协议书》。</w:t>
      </w:r>
    </w:p>
    <w:p w14:paraId="500F85C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挂牌期间，乡镇（街道）农村产权交易服务站接受意向受让者的咨询洽谈。</w:t>
      </w:r>
    </w:p>
    <w:p w14:paraId="7E8C54A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第十五条 </w:t>
      </w:r>
      <w:r>
        <w:rPr>
          <w:rFonts w:hint="eastAsia" w:ascii="仿宋_GB2312" w:hAnsi="仿宋_GB2312" w:eastAsia="仿宋_GB2312" w:cs="仿宋_GB2312"/>
          <w:color w:val="333333"/>
          <w:sz w:val="32"/>
          <w:szCs w:val="32"/>
          <w:shd w:val="clear" w:color="auto" w:fill="FFFFFF"/>
        </w:rPr>
        <w:t>确定受让方后，交易双方在平等、协商、自愿的基础上签订农村资产产权交易合同。</w:t>
      </w:r>
    </w:p>
    <w:p w14:paraId="68983BF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农村资产产权交易合同应当包括以下主要内容：</w:t>
      </w:r>
    </w:p>
    <w:p w14:paraId="3341870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（一）交易标的；</w:t>
      </w:r>
    </w:p>
    <w:p w14:paraId="73E569D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（二）交易双方的姓名（名称）、住所；</w:t>
      </w:r>
    </w:p>
    <w:p w14:paraId="431A183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（三）交易资产的权属性质、内容；</w:t>
      </w:r>
    </w:p>
    <w:p w14:paraId="5B2028A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（四）交易资产现状；</w:t>
      </w:r>
    </w:p>
    <w:p w14:paraId="7BC5A39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（五）转让期限和起止期限；</w:t>
      </w:r>
    </w:p>
    <w:p w14:paraId="6821551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（六）交易价款及支付方式、期限，资产交付方式、期限；</w:t>
      </w:r>
    </w:p>
    <w:p w14:paraId="61C9EB4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（七）交易双方的权利和义务；</w:t>
      </w:r>
    </w:p>
    <w:p w14:paraId="1A531AA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（八）合同双方的违约责任、合同争议的解决方式、合同变更和解除的条件；</w:t>
      </w:r>
    </w:p>
    <w:p w14:paraId="0131F35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（九）签约日期；</w:t>
      </w:r>
    </w:p>
    <w:p w14:paraId="74517B2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（十）交易双方认为需要约定的其他事项。</w:t>
      </w:r>
    </w:p>
    <w:p w14:paraId="74EDFDC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第十六条 </w:t>
      </w:r>
      <w:r>
        <w:rPr>
          <w:rFonts w:hint="eastAsia" w:ascii="仿宋_GB2312" w:hAnsi="仿宋_GB2312" w:eastAsia="仿宋_GB2312" w:cs="仿宋_GB2312"/>
          <w:color w:val="333333"/>
          <w:sz w:val="32"/>
          <w:szCs w:val="32"/>
          <w:shd w:val="clear" w:color="auto" w:fill="FFFFFF"/>
        </w:rPr>
        <w:t>出让方与受让方通过农交中心进行成交价款结算，并凭交易合同及价款结算凭证办理《产权交易鉴证书》。</w:t>
      </w:r>
    </w:p>
    <w:p w14:paraId="692E923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整个资产处置完成后，要建立健全档案资料，实行一项一卷，专人专柜保管，存档备查，并接受相关部门检查和异议查询。《产权交易鉴证书》涉及权属变更的，交易双方凭《产权交易鉴证书》，按照国家有关规定及时到国土、林业等相关单位办理资产所有权变更手续。</w:t>
      </w:r>
    </w:p>
    <w:p w14:paraId="3AAD163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挂牌期满，乡镇（街道）农村产权交易服务站对意向受让方的受让申请进行登记，并对意向受让方进行资格审查。如只产生一个符合条件的意向受让方，可以采取协议转让的方式；产生两个及以上符合条件的意向受让方，应采取拍卖或招标等转让的方式确定受让方。</w:t>
      </w:r>
    </w:p>
    <w:p w14:paraId="1D3AE11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采取拍卖方式转让的，应当按照《中华人民共和国拍卖法》及有关规定组织实施。</w:t>
      </w:r>
    </w:p>
    <w:p w14:paraId="76DA6C1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采取招投标方式转让的，应当按照国家有关规定组织实施。</w:t>
      </w:r>
    </w:p>
    <w:p w14:paraId="3471EA2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本规则解释权属于石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6D57C4F8">
      <w:pPr>
        <w:pStyle w:val="13"/>
        <w:shd w:val="clear" w:color="auto" w:fill="FFFFFF"/>
        <w:spacing w:beforeAutospacing="0" w:afterAutospacing="0" w:line="560" w:lineRule="exact"/>
        <w:ind w:firstLine="643" w:firstLineChars="200"/>
        <w:rPr>
          <w:rFonts w:ascii="仿宋_GB2312" w:hAnsi="仿宋_GB2312" w:eastAsia="仿宋_GB2312" w:cs="仿宋_GB2312"/>
        </w:rPr>
        <w:sectPr>
          <w:pgSz w:w="11906" w:h="16838"/>
          <w:pgMar w:top="2098" w:right="1474" w:bottom="1984" w:left="1587" w:header="851" w:footer="992" w:gutter="0"/>
          <w:pgNumType w:fmt="numberInDash"/>
          <w:cols w:space="425" w:num="1"/>
          <w:docGrid w:type="lines" w:linePitch="312" w:charSpace="0"/>
        </w:sectPr>
      </w:pPr>
      <w:r>
        <w:rPr>
          <w:rStyle w:val="18"/>
          <w:rFonts w:hint="eastAsia" w:ascii="仿宋_GB2312" w:hAnsi="仿宋_GB2312" w:eastAsia="仿宋_GB2312" w:cs="仿宋_GB2312"/>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本规则自发布之日起试行。</w:t>
      </w:r>
    </w:p>
    <w:p w14:paraId="3DD3E89F">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89" w:name="_Toc32325"/>
      <w:bookmarkStart w:id="90" w:name="_Toc20210"/>
      <w:bookmarkStart w:id="91" w:name="_Toc383"/>
      <w:bookmarkStart w:id="92" w:name="_Toc12698"/>
      <w:bookmarkStart w:id="93" w:name="_Toc23547"/>
      <w:bookmarkStart w:id="94" w:name="_Toc701"/>
      <w:bookmarkStart w:id="95" w:name="_Toc8324"/>
      <w:bookmarkStart w:id="96" w:name="_Toc18262"/>
      <w:bookmarkStart w:id="97" w:name="_Toc19637"/>
      <w:bookmarkStart w:id="98" w:name="_Toc30318"/>
      <w:bookmarkStart w:id="99" w:name="_Toc27212"/>
      <w:bookmarkStart w:id="100" w:name="_Toc4833"/>
      <w:bookmarkStart w:id="101" w:name="_Toc32129"/>
      <w:bookmarkStart w:id="102" w:name="_Toc26548"/>
      <w:bookmarkStart w:id="103" w:name="_Toc14366"/>
      <w:bookmarkStart w:id="104" w:name="_Toc10700"/>
      <w:bookmarkStart w:id="105" w:name="_Toc21953"/>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058FEEB6">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农业生产设施设备流转交易规则（试行）</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C57283">
      <w:pPr>
        <w:pStyle w:val="13"/>
        <w:shd w:val="clear" w:color="auto" w:fill="FFFFFF"/>
        <w:spacing w:beforeAutospacing="0" w:afterAutospacing="0" w:line="560" w:lineRule="exact"/>
        <w:ind w:firstLine="540" w:firstLineChars="200"/>
        <w:rPr>
          <w:rStyle w:val="18"/>
          <w:rFonts w:ascii="PingFangSC-Regular" w:hAnsi="PingFangSC-Regular" w:eastAsia="PingFangSC-Regular" w:cs="PingFangSC-Regular"/>
          <w:color w:val="333333"/>
          <w:sz w:val="27"/>
          <w:szCs w:val="27"/>
          <w:shd w:val="clear" w:color="auto" w:fill="FFFFFF"/>
        </w:rPr>
      </w:pPr>
    </w:p>
    <w:p w14:paraId="1AC706D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农业生产设施设备流转交易行为，保障交易各方合法权益，维护交易秩序，促进农业生产设施设备流转，根据《中华人民共和国民法典》《中华人民共和国招标投标法》等法律、法规并依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农村产权流转交易管理办法（试行）》《石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农村产权交易中心农村产权流转交易规则（试行）》，制定本规则。</w:t>
      </w:r>
    </w:p>
    <w:p w14:paraId="605E850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在农交中心进行的农业生产设施设备流转交易行为，适用本规则。法律、法规和规章另有规定的，从其规定。</w:t>
      </w:r>
    </w:p>
    <w:p w14:paraId="2522415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本规则所指的农业生产设施设备交易范围包括：</w:t>
      </w:r>
    </w:p>
    <w:p w14:paraId="2E31CB1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（一）现代农业生产系统中所有装备，主要包括农业机械和渔船等农业生产性工具。</w:t>
      </w:r>
    </w:p>
    <w:p w14:paraId="4748664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直接用于农产品生产的设施，包括：标准化钢架大棚（单栋、连栋、玻璃温室），作物栽培中有钢架结构的玻璃或PC板连栋温室，食用菌工厂化栽培设施（厂房），规模化养殖中的畜禽舍、畜禽有机物处置等生产设施，现代渔业生产设施、水产养殖设施等。</w:t>
      </w:r>
    </w:p>
    <w:p w14:paraId="3F888B7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（三）从事规模化粮食生产所必需的配套设施，包括：粮食烘干设施、冷藏室（库），仓储设施和大型农机具存放库房、农业生产管理用房等。</w:t>
      </w:r>
    </w:p>
    <w:p w14:paraId="745BD7C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（四）法律、法规规定能够进行交易的其他农业生产设施设备。</w:t>
      </w:r>
    </w:p>
    <w:p w14:paraId="0271F54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本规则所称的农业生产设施设备流转是指农户、农民合作组织、农村集体和涉农企业等拥有的农业生产设施设备使用权、所有权，依法流转给其他公民、法人及其他经济组织的行为。</w:t>
      </w:r>
    </w:p>
    <w:p w14:paraId="68DBE56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农业生产设施设备流转交易应当遵循以下原则：</w:t>
      </w:r>
    </w:p>
    <w:p w14:paraId="56FDAD1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（一）平等、自愿、有偿；</w:t>
      </w:r>
    </w:p>
    <w:p w14:paraId="5CE62D0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（二）交易期限不得违反法律规定；</w:t>
      </w:r>
    </w:p>
    <w:p w14:paraId="055B934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（三）在同等条件下，本集体经济组织成员享有优先权。</w:t>
      </w:r>
    </w:p>
    <w:p w14:paraId="252D19A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交易基本条件：</w:t>
      </w:r>
    </w:p>
    <w:p w14:paraId="4E3DEAD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（一）交易双方必须是具有完全民事权利能力和民事行为能力的自然人、村集体经济组织、法人或其他组织，并具有转让（或受让）的真实意愿；</w:t>
      </w:r>
    </w:p>
    <w:p w14:paraId="3868204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（二）权属明晰，权证齐全且合法有效；</w:t>
      </w:r>
    </w:p>
    <w:p w14:paraId="0DAA8D7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（三）流转交易项目符合国家的法律法规、环境保护、产业发展规划等政策规定。</w:t>
      </w:r>
    </w:p>
    <w:p w14:paraId="63021A5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在农交中心进行农业生产设施设备产权交易行为必须遵守本规则。交易当事人向农交中心提交交易申请文件或其他委托文件的行为，视为认可并接受本规则约束。</w:t>
      </w:r>
    </w:p>
    <w:p w14:paraId="62B9956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出让方可以直接或委托农村集体经济组织向农交中心提出书面申请，并提交下列材料：</w:t>
      </w:r>
    </w:p>
    <w:p w14:paraId="04A699A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（一）主体资格证明材料，出让方为自然人的，须提供身份证或户口本；出让方为法人或其他组织的，须提供营业执照、组织机构代码证、法定代表人身份证明及其他资格证明文件；</w:t>
      </w:r>
    </w:p>
    <w:p w14:paraId="06610C0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（二）生产设施设备转出申请书</w:t>
      </w:r>
    </w:p>
    <w:p w14:paraId="541683F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（三）权属证明材料，包括农业生产设施设备所有权或使用权权利证书；承包经营权流转合同（再次流转时）、相关部门出具的证明文件等；</w:t>
      </w:r>
    </w:p>
    <w:p w14:paraId="7ED263E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（四）农业生产设施设备的相关图片资料；</w:t>
      </w:r>
    </w:p>
    <w:p w14:paraId="684EF9A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（五）如需履行内部决策程序或审批程序的，提交内部决策同意受让的证明或审批文件；</w:t>
      </w:r>
    </w:p>
    <w:p w14:paraId="38CC044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（六）委托他人办理的，需提交授权委托书及受托方主体资格证明、负责人的身份证明文件；</w:t>
      </w:r>
    </w:p>
    <w:p w14:paraId="05CD3A1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（七）再次流转交易的出让方应当提供原出让方同意再次流转的证明和原流转交易的合同（或有效证明），并不得超过合同的剩余期限；</w:t>
      </w:r>
    </w:p>
    <w:p w14:paraId="2D3A487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（八）需要评估的，须提供评估报告；</w:t>
      </w:r>
    </w:p>
    <w:p w14:paraId="2FFADB5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（九）采取联合转让的，应提交联合出让方签订的《联合转让协议》；</w:t>
      </w:r>
    </w:p>
    <w:p w14:paraId="45BD77D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（十）农交中心要求提交的其他材料。</w:t>
      </w:r>
    </w:p>
    <w:p w14:paraId="10AB47C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以上材料均须提交原件，提交复印件的需提交方加盖公章或签字。</w:t>
      </w:r>
    </w:p>
    <w:p w14:paraId="15ED5A8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出让方将相关材料提交乡镇（街道）农村产权交易中心服务站，</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农村产权交易中心审核（备案）。</w:t>
      </w:r>
    </w:p>
    <w:p w14:paraId="4DB6166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农交中心依据出让方提交的资料制作挂牌信息，在农交中心网站进行信息发布，挂牌时间不得少于5个工作日。</w:t>
      </w:r>
    </w:p>
    <w:p w14:paraId="5D872E56">
      <w:pPr>
        <w:pStyle w:val="13"/>
        <w:shd w:val="clear" w:color="auto" w:fill="FFFFFF"/>
        <w:spacing w:beforeAutospacing="0" w:afterAutospacing="0" w:line="560" w:lineRule="exact"/>
        <w:ind w:firstLine="643" w:firstLineChars="200"/>
        <w:jc w:val="both"/>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第十一条  </w:t>
      </w:r>
      <w:r>
        <w:rPr>
          <w:rFonts w:hint="eastAsia" w:ascii="仿宋_GB2312" w:hAnsi="仿宋_GB2312" w:eastAsia="仿宋_GB2312" w:cs="仿宋_GB2312"/>
          <w:color w:val="333333"/>
          <w:sz w:val="32"/>
          <w:szCs w:val="32"/>
          <w:shd w:val="clear" w:color="auto" w:fill="FFFFFF"/>
        </w:rPr>
        <w:t>意向受让方在交易项目信息发布期间可以直接向农交中心提出书面申请，并提交以下材料：</w:t>
      </w:r>
    </w:p>
    <w:p w14:paraId="260971C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（一）有效身份证明。意向受让方为自然人的，须提交身份证复印件或户口本；意向受让方为法人或其他组织的，须提供营业执照、组织机构代码证、法定代表人（负责人）身份证明及其他资格证文件；</w:t>
      </w:r>
    </w:p>
    <w:p w14:paraId="535FE08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（二）意向受让方的资信证明；</w:t>
      </w:r>
    </w:p>
    <w:p w14:paraId="2034613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（三）需要交纳保证金的，需提交保证金交纳凭证；</w:t>
      </w:r>
    </w:p>
    <w:p w14:paraId="14828F9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（四）农交中心要求提交的其他材料。</w:t>
      </w:r>
    </w:p>
    <w:p w14:paraId="6FCA689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以上材料须提交原件，提交复印件的需提交方加盖公章或签字。</w:t>
      </w:r>
    </w:p>
    <w:p w14:paraId="431A7A0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意向受让方可以在信息公告规定的时间内到相应地点进行实地考察，了解标的物详细情况。意向受让方一旦参与交易，即表示其已对交易标的物完全了解，视同认可交易标的清单上列明的标的物与实际标的物相符。</w:t>
      </w:r>
    </w:p>
    <w:p w14:paraId="69C892B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产权转出信息公告期满后，产生两个及以上符合条件的意向受让方的，农交中心按照公告的竞价方式组织或指导实施公开竞价；只产生一个符合条件的意向受让方的，农交中心组织交易双方按挂牌价与买方报价孰高原则直接签约，意向受让方未报价的，农交中心组织交易双方按挂牌价直接签约。涉及第三人依法在同等条件下享有优先购买权的情形，按照有关法律规定执行。</w:t>
      </w:r>
    </w:p>
    <w:p w14:paraId="4EB27D4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农交中心依据征集到的意向交易信息确定受让方。</w:t>
      </w:r>
    </w:p>
    <w:p w14:paraId="307E03F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公开竞价方式包括协议转出、网络竞价、拍卖、招投标及其他竞价方式。</w:t>
      </w:r>
    </w:p>
    <w:p w14:paraId="6D6ABA0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竞价结束后，农交中心确定受让方后发布成交公示，公示期为</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个工作日。在公示期内如有异议的，可向出让方提出异议或向相关监督部门投诉，农交中心视情形可中止交易；经公示后无异议的，在次日起</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个工作日内组织交易双方签订农村产权交易合同。</w:t>
      </w:r>
    </w:p>
    <w:p w14:paraId="32705BB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交易合同签订后，农交中心向受让方出具《产权交易结算通知书》。受让方将交易价款支付到农交中心指定的结算账户。受让方交纳的交易保证金按照相关约定转为交易价款。交易合同约定价款支付方式为分期付款的，按照合同约定执行。</w:t>
      </w:r>
    </w:p>
    <w:p w14:paraId="1B7B50F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受让方将交易价款交付至农交中心结算账户后，对符合交易价款划出条件的，农交中心向出让方划出交易价款。</w:t>
      </w:r>
    </w:p>
    <w:p w14:paraId="64DE43F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交易双方应当按照农交中心的收费标准支付交易服务费等费用，农交中心在收到服务费用后，出具收费凭证。</w:t>
      </w:r>
    </w:p>
    <w:p w14:paraId="3DE2169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产权交易双方签订农村产权交易合同，受让方依据合同约定将交易价款交付至农交中心资金结算账户，且交易双方支付交易服务费用后，农交中心在</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个工作日内出具农村产权交易鉴证。</w:t>
      </w:r>
    </w:p>
    <w:p w14:paraId="2589CA7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交易行为需要政府有关部门批准的，农交中心应当在交易行为获得政府相关部门批准后出具农村产权交易鉴证。</w:t>
      </w:r>
    </w:p>
    <w:p w14:paraId="3228293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交易双方凭农村产权交易鉴证办理标的权属转出手续。</w:t>
      </w:r>
    </w:p>
    <w:p w14:paraId="49C3015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交易程序中的进场交易、受理登记、信息发布与反馈、交易方式、交易保证金、交易款项结算、合同签订、出具产权交易鉴证、中止和终结、争议处理等环节执行农交中心发布的《石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农村产权交易中心农村产权流转交易规则（试行）》和对应的交易规则。</w:t>
      </w:r>
    </w:p>
    <w:p w14:paraId="5917744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xml:space="preserve"> 本规则的解释权和修订权归石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590E8CB8">
      <w:pPr>
        <w:pStyle w:val="13"/>
        <w:shd w:val="clear" w:color="auto" w:fill="FFFFFF"/>
        <w:spacing w:beforeAutospacing="0" w:afterAutospacing="0" w:line="560" w:lineRule="exact"/>
        <w:ind w:firstLine="643" w:firstLineChars="200"/>
        <w:sectPr>
          <w:pgSz w:w="11906" w:h="16838"/>
          <w:pgMar w:top="2098" w:right="1474" w:bottom="1984" w:left="1587" w:header="851" w:footer="992" w:gutter="0"/>
          <w:pgNumType w:fmt="numberInDash"/>
          <w:cols w:space="425" w:num="1"/>
          <w:docGrid w:type="lines" w:linePitch="312" w:charSpace="0"/>
        </w:sectPr>
      </w:pPr>
      <w:r>
        <w:rPr>
          <w:rStyle w:val="18"/>
          <w:rFonts w:hint="eastAsia" w:ascii="仿宋_GB2312" w:hAnsi="仿宋_GB2312" w:eastAsia="仿宋_GB2312" w:cs="仿宋_GB2312"/>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xml:space="preserve"> 本规则自印发之日起执行。</w:t>
      </w:r>
    </w:p>
    <w:p w14:paraId="4D659BB1">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106" w:name="_Toc9298"/>
      <w:bookmarkStart w:id="107" w:name="_Toc16698"/>
      <w:bookmarkStart w:id="108" w:name="_Toc16271"/>
      <w:bookmarkStart w:id="109" w:name="_Toc6103"/>
      <w:bookmarkStart w:id="110" w:name="_Toc26030"/>
      <w:bookmarkStart w:id="111" w:name="_Toc19570"/>
      <w:bookmarkStart w:id="112" w:name="_Toc18870"/>
      <w:bookmarkStart w:id="113" w:name="_Toc5578"/>
      <w:bookmarkStart w:id="114" w:name="_Toc6896"/>
      <w:bookmarkStart w:id="115" w:name="_Toc3318"/>
      <w:bookmarkStart w:id="116" w:name="_Toc8541"/>
      <w:bookmarkStart w:id="117" w:name="_Toc6550"/>
      <w:bookmarkStart w:id="118" w:name="_Toc31227"/>
      <w:bookmarkStart w:id="119" w:name="_Toc22181"/>
      <w:bookmarkStart w:id="120" w:name="_Toc19428"/>
      <w:bookmarkStart w:id="121" w:name="_Toc16019"/>
      <w:bookmarkStart w:id="122" w:name="_Toc31963"/>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4E12AE77">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小型水利设施使用权交易规则（试行）</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DBBEAEA">
      <w:pPr>
        <w:pStyle w:val="13"/>
        <w:shd w:val="clear" w:color="auto" w:fill="FFFFFF"/>
        <w:spacing w:beforeAutospacing="0" w:afterAutospacing="0" w:line="560" w:lineRule="exact"/>
        <w:ind w:firstLine="540" w:firstLineChars="200"/>
        <w:rPr>
          <w:rStyle w:val="18"/>
          <w:rFonts w:ascii="PingFangSC-Regular" w:hAnsi="PingFangSC-Regular" w:eastAsia="PingFangSC-Regular" w:cs="PingFangSC-Regular"/>
          <w:color w:val="333333"/>
          <w:sz w:val="27"/>
          <w:szCs w:val="27"/>
          <w:shd w:val="clear" w:color="auto" w:fill="FFFFFF"/>
        </w:rPr>
      </w:pPr>
    </w:p>
    <w:p w14:paraId="6D2FEB1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小型水利设施使用权交易行为，保障交易各方合法权益，维护交易秩序，促进小型水利设施使用权，根据《中华人民共和国民法典》《中华人民共和国水法》等法律、法规并依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农村产权流转交易管理办法（试行）》《石门</w:t>
      </w:r>
      <w:r>
        <w:rPr>
          <w:rFonts w:hint="eastAsia" w:ascii="___WRD_EMBED_SUB_45" w:hAnsi="___WRD_EMBED_SUB_45" w:eastAsia="___WRD_EMBED_SUB_45" w:cs="___WRD_EMBED_SUB_45"/>
          <w:color w:val="333333"/>
          <w:sz w:val="32"/>
          <w:szCs w:val="32"/>
          <w:shd w:val="clear" w:color="auto" w:fill="FFFFFF"/>
        </w:rPr>
        <w:t>县</w:t>
      </w:r>
      <w:r>
        <w:rPr>
          <w:rFonts w:hint="eastAsia" w:ascii="仿宋_GB2312" w:hAnsi="仿宋_GB2312" w:eastAsia="仿宋_GB2312" w:cs="仿宋_GB2312"/>
          <w:color w:val="333333"/>
          <w:sz w:val="32"/>
          <w:szCs w:val="32"/>
          <w:shd w:val="clear" w:color="auto" w:fill="FFFFFF"/>
        </w:rPr>
        <w:t>农村产权交易中心农村产权流转交易规则（试行）》，制定本规则。</w:t>
      </w:r>
    </w:p>
    <w:p w14:paraId="625BF57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Style w:val="18"/>
          <w:rFonts w:hint="eastAsia" w:ascii="仿宋_GB2312" w:hAnsi="仿宋_GB2312" w:eastAsia="仿宋_GB2312"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在农交中心进行的小型水利设施使用权交易行为，适用本规则。法律、法规和规章另有规定的，从其规定。</w:t>
      </w:r>
    </w:p>
    <w:p w14:paraId="7CE534D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Style w:val="18"/>
          <w:rFonts w:hint="eastAsia" w:ascii="仿宋_GB2312" w:hAnsi="仿宋_GB2312" w:eastAsia="仿宋_GB2312"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规则适用于本行政区域内的各类小型水利设施，包括：小水库、小挡坝、小塘堰、小泵站、小机井等蓄、引、提水设施；大中型灌区末级渠系，支渠、斗渠、毛渠等输水设施；农村集中饮水工程设施，管灌、微灌、喷灌等节水工程设施。</w:t>
      </w:r>
    </w:p>
    <w:p w14:paraId="00290F0D">
      <w:pPr>
        <w:pStyle w:val="13"/>
        <w:shd w:val="clear" w:color="auto" w:fill="FFFFFF"/>
        <w:spacing w:beforeAutospacing="0" w:afterAutospacing="0" w:line="560" w:lineRule="exact"/>
        <w:ind w:firstLine="64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本规则所指的小型水利设施使用权交易范围包括：</w:t>
      </w:r>
    </w:p>
    <w:p w14:paraId="42330B69">
      <w:pPr>
        <w:pStyle w:val="13"/>
        <w:shd w:val="clear" w:color="auto" w:fill="FFFFFF"/>
        <w:spacing w:beforeAutospacing="0" w:afterAutospacing="0" w:line="560" w:lineRule="exact"/>
        <w:ind w:firstLine="64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（一）小型水库，即总库容10万立方米～1000万立方米（不含）的小型水库；</w:t>
      </w:r>
    </w:p>
    <w:p w14:paraId="3B49A2FF">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（二）小型水闸，即最大过闸流量100立方米每秒（不含）以下的小型水闸；</w:t>
      </w:r>
    </w:p>
    <w:p w14:paraId="12FEEF6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小型农田水利工程及设备，包括控制灌溉面积1万亩、除涝面积3万亩以下的农田水利工程及设施，大中型灌区末级渠系及量测水设施等配套建筑物，塘坝、堰闸、机井、水池（窖、柜）及装机功率小于1000千瓦的泵站等；</w:t>
      </w:r>
    </w:p>
    <w:p w14:paraId="5933D375">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（四）农村饮水安全工程，包括日供水规模1000立方米（不含）以下的集中式供水工程和分散式供水工程；</w:t>
      </w:r>
    </w:p>
    <w:p w14:paraId="34440573">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（五）小型水电站，仅包括所有权为镇（街）、村集体经济组织的小型水电站。</w:t>
      </w:r>
    </w:p>
    <w:p w14:paraId="3091CD5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第四条</w:t>
      </w:r>
      <w:r>
        <w:rPr>
          <w:rFonts w:hint="eastAsia" w:ascii="仿宋_GB2312" w:hAnsi="仿宋_GB2312" w:eastAsia="仿宋_GB2312" w:cs="仿宋_GB2312"/>
          <w:color w:val="333333"/>
          <w:sz w:val="32"/>
          <w:szCs w:val="32"/>
          <w:shd w:val="clear" w:color="auto" w:fill="FFFFFF"/>
        </w:rPr>
        <w:t xml:space="preserve"> 本规则所称农村小型水利设施使用权是指农户、农民合作组织、农村集体和涉农企业等拥有的小型水利设施的使用权。</w:t>
      </w:r>
    </w:p>
    <w:p w14:paraId="648058A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小型水利设施使用权交易是指农村小型水利设施所有权人，依法以承包、租赁、转让、抵押、股份合作等方式流转给其他自然人、法人或其他组织的行为。</w:t>
      </w:r>
    </w:p>
    <w:p w14:paraId="2AD5DFC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第五条</w:t>
      </w:r>
      <w:r>
        <w:rPr>
          <w:rFonts w:hint="eastAsia" w:ascii="仿宋_GB2312" w:hAnsi="仿宋_GB2312" w:eastAsia="仿宋_GB2312" w:cs="仿宋_GB2312"/>
          <w:color w:val="333333"/>
          <w:sz w:val="32"/>
          <w:szCs w:val="32"/>
          <w:shd w:val="clear" w:color="auto" w:fill="FFFFFF"/>
        </w:rPr>
        <w:t xml:space="preserve"> 小型水利设施使用权交易应当遵循以下原则：</w:t>
      </w:r>
    </w:p>
    <w:p w14:paraId="69F6985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（一）公开、公平、自愿、有偿及民主决策和互惠互利原则；</w:t>
      </w:r>
    </w:p>
    <w:p w14:paraId="343FA45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（二）依法治水、节约用水、高效用水的可持续利用原则；</w:t>
      </w:r>
    </w:p>
    <w:p w14:paraId="089069D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（三）政府监管和</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场调节相结合的原则；</w:t>
      </w:r>
    </w:p>
    <w:p w14:paraId="2737F9A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（四）实行“谁投资、谁建设、谁受益、谁管护”且不损害第三方用水权益的原则；</w:t>
      </w:r>
    </w:p>
    <w:p w14:paraId="29703748">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（五）服从防汛、排涝统一指挥的原则。</w:t>
      </w:r>
    </w:p>
    <w:p w14:paraId="51059BEC">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（六）在同等条件下，本集体经济组织成员享有优先受让权。</w:t>
      </w:r>
    </w:p>
    <w:p w14:paraId="5F3B939C">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第六条</w:t>
      </w:r>
      <w:r>
        <w:rPr>
          <w:rFonts w:hint="eastAsia" w:ascii="仿宋_GB2312" w:hAnsi="仿宋_GB2312" w:eastAsia="仿宋_GB2312" w:cs="仿宋_GB2312"/>
          <w:color w:val="333333"/>
          <w:sz w:val="32"/>
          <w:szCs w:val="32"/>
          <w:shd w:val="clear" w:color="auto" w:fill="FFFFFF"/>
        </w:rPr>
        <w:t xml:space="preserve"> 在农交中心进行小型水利设施使用权交易的当事人应是具有完全民事权利能力和民事行为能力的自然人、独立享有民事权利和承担民事义务的法人或其他组织。</w:t>
      </w:r>
    </w:p>
    <w:p w14:paraId="0B9AB093">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第七条</w:t>
      </w:r>
      <w:r>
        <w:rPr>
          <w:rFonts w:hint="eastAsia" w:ascii="仿宋_GB2312" w:hAnsi="仿宋_GB2312" w:eastAsia="仿宋_GB2312" w:cs="仿宋_GB2312"/>
          <w:color w:val="333333"/>
          <w:sz w:val="32"/>
          <w:szCs w:val="32"/>
          <w:shd w:val="clear" w:color="auto" w:fill="FFFFFF"/>
        </w:rPr>
        <w:t xml:space="preserve"> 交易基本条件：</w:t>
      </w:r>
    </w:p>
    <w:p w14:paraId="4874B64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（一）交易双方必须是具有完全民事权利能力和民事行为能力的自然人、独立享有民事权利和承担民事义务的法人或其他组织，并具有转出（或受让）的真实意愿；</w:t>
      </w:r>
    </w:p>
    <w:p w14:paraId="408137C1">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（二）权属明晰，权证合法有效；</w:t>
      </w:r>
    </w:p>
    <w:p w14:paraId="3844B3E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（三）流转交易项目符合国家的法律法规、环境保护、产业发展规划等政策规定。</w:t>
      </w:r>
    </w:p>
    <w:p w14:paraId="3EB6F8D1">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第八条</w:t>
      </w:r>
      <w:r>
        <w:rPr>
          <w:rFonts w:hint="eastAsia" w:ascii="仿宋_GB2312" w:hAnsi="仿宋_GB2312" w:eastAsia="仿宋_GB2312" w:cs="仿宋_GB2312"/>
          <w:color w:val="333333"/>
          <w:sz w:val="32"/>
          <w:szCs w:val="32"/>
          <w:shd w:val="clear" w:color="auto" w:fill="FFFFFF"/>
        </w:rPr>
        <w:t xml:space="preserve"> 出让方可以直接或委托农村集体经济组织向农交中心提出书面申请，并提交下列材料：</w:t>
      </w:r>
    </w:p>
    <w:p w14:paraId="0C74377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有效身份证明。如为自然人提供个人身份证；如为村集体经济组织提供《农村集体经济组织登记证》、法定代表人身份证；如为公司提供工商营业执照副本、组织机构代码证、法定代表人身份证明及身份证、公司章程等有效证件；如为其他组织的提供资质证照、负责人身份证明和身份证及相关文件</w:t>
      </w:r>
    </w:p>
    <w:p w14:paraId="61811D15">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（二）小型水利设施转出申请书；</w:t>
      </w:r>
    </w:p>
    <w:p w14:paraId="31459FB2">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（三）权属证明材料，包括小型水利设施购买发票、承包经营权流转合同（再次流转时）、相关部门出具的证明文件等；</w:t>
      </w:r>
    </w:p>
    <w:p w14:paraId="570C4D2C">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（四）采取委托方式流转的应当提供委托书及相关批准转出的文件，包括民主决策档案材料、内部决议及相关批准和备案文件；</w:t>
      </w:r>
    </w:p>
    <w:p w14:paraId="0DF9853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（五）再次流转交易的出让方应当提供原出让方同意再次流转的证明和原流转交易的合同（或有效证明），并不得超过合同的剩余期限；</w:t>
      </w:r>
    </w:p>
    <w:p w14:paraId="3877C4C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（六）标的情况说明及平面图；</w:t>
      </w:r>
    </w:p>
    <w:p w14:paraId="65C5CD0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（七）需要评估的，须提供评估报告；</w:t>
      </w:r>
    </w:p>
    <w:p w14:paraId="70587118">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（八）农交中心要求提交的其他材料。</w:t>
      </w:r>
    </w:p>
    <w:p w14:paraId="0BF78BD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以上材料均须提交原件，提交复印件的需提交方加盖公章或签字。</w:t>
      </w:r>
    </w:p>
    <w:p w14:paraId="32BCCD7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第九条</w:t>
      </w:r>
      <w:r>
        <w:rPr>
          <w:rFonts w:hint="eastAsia" w:ascii="仿宋_GB2312" w:hAnsi="仿宋_GB2312" w:eastAsia="仿宋_GB2312" w:cs="仿宋_GB2312"/>
          <w:color w:val="333333"/>
          <w:sz w:val="32"/>
          <w:szCs w:val="32"/>
          <w:shd w:val="clear" w:color="auto" w:fill="FFFFFF"/>
        </w:rPr>
        <w:t xml:space="preserve"> 出让方将相关材料提交乡镇（街道）农村产权交易中心</w:t>
      </w:r>
      <w:r>
        <w:rPr>
          <w:rFonts w:hint="eastAsia" w:ascii="仿宋_GB2312" w:hAnsi="仿宋_GB2312" w:eastAsia="仿宋_GB2312" w:cs="仿宋_GB2312"/>
          <w:color w:val="333333"/>
          <w:sz w:val="32"/>
          <w:szCs w:val="32"/>
          <w:shd w:val="clear" w:color="auto" w:fill="FFFFFF"/>
          <w:lang w:val="en-US" w:eastAsia="zh-CN"/>
        </w:rPr>
        <w:t>服务站</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农村产权交易中心审核（备案）。</w:t>
      </w:r>
    </w:p>
    <w:p w14:paraId="1023FD18">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第十条</w:t>
      </w:r>
      <w:r>
        <w:rPr>
          <w:rFonts w:hint="eastAsia" w:ascii="仿宋_GB2312" w:hAnsi="仿宋_GB2312" w:eastAsia="仿宋_GB2312" w:cs="仿宋_GB2312"/>
          <w:color w:val="333333"/>
          <w:sz w:val="32"/>
          <w:szCs w:val="32"/>
          <w:shd w:val="clear" w:color="auto" w:fill="FFFFFF"/>
        </w:rPr>
        <w:t xml:space="preserve"> 农交中心依据出让方提交的资料制作挂牌信息，在农交中心网站进行信息发布，挂牌时间不得少于5个工作日。</w:t>
      </w:r>
    </w:p>
    <w:p w14:paraId="4FB13C8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第十一条  </w:t>
      </w:r>
      <w:r>
        <w:rPr>
          <w:rFonts w:hint="eastAsia" w:ascii="仿宋_GB2312" w:hAnsi="仿宋_GB2312" w:eastAsia="仿宋_GB2312" w:cs="仿宋_GB2312"/>
          <w:color w:val="333333"/>
          <w:sz w:val="32"/>
          <w:szCs w:val="32"/>
          <w:shd w:val="clear" w:color="auto" w:fill="FFFFFF"/>
        </w:rPr>
        <w:t>意向受让方在交易项目信息发布期间可以直接向农交中心提出书面申请，并提交以下材料：</w:t>
      </w:r>
    </w:p>
    <w:p w14:paraId="5D6C442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（一）有效身份证明。意向受让方为自然人的，须提交身份证复印件或户口本；意向受让方为法人或其他组织的，须提供营业执照、组织机构代码证、法定代表人（负责人）身份证明及其他资格证文件；</w:t>
      </w:r>
    </w:p>
    <w:p w14:paraId="1D7FC46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（二）意向受让方的资信证明；</w:t>
      </w:r>
    </w:p>
    <w:p w14:paraId="499F0973">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（三）需要交纳保证金的，需提交保证金交纳凭证；</w:t>
      </w:r>
    </w:p>
    <w:p w14:paraId="753A4CA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（四）农交中心要求提交的其他材料。</w:t>
      </w:r>
    </w:p>
    <w:p w14:paraId="589C892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以上材料须提交原件，提交复印件的需提交方加盖公章或签字。</w:t>
      </w:r>
    </w:p>
    <w:p w14:paraId="08456945">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第十二条</w:t>
      </w:r>
      <w:r>
        <w:rPr>
          <w:rFonts w:hint="eastAsia" w:ascii="仿宋_GB2312" w:hAnsi="仿宋_GB2312" w:eastAsia="仿宋_GB2312" w:cs="仿宋_GB2312"/>
          <w:color w:val="333333"/>
          <w:sz w:val="32"/>
          <w:szCs w:val="32"/>
          <w:shd w:val="clear" w:color="auto" w:fill="FFFFFF"/>
        </w:rPr>
        <w:t xml:space="preserve"> 意向受让方可以在信息公告规定的时间内到相应地点进行实地考察，了解标的物详细情况。意向受让方一旦参与交易，即表示其已对交易标的物完全了解，视同认可交易标的清单上列明的标的物与实际标的物相符。</w:t>
      </w:r>
    </w:p>
    <w:p w14:paraId="69E42AF8">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第十三条</w:t>
      </w:r>
      <w:r>
        <w:rPr>
          <w:rFonts w:hint="eastAsia" w:ascii="仿宋_GB2312" w:hAnsi="仿宋_GB2312" w:eastAsia="仿宋_GB2312" w:cs="仿宋_GB2312"/>
          <w:color w:val="333333"/>
          <w:sz w:val="32"/>
          <w:szCs w:val="32"/>
          <w:shd w:val="clear" w:color="auto" w:fill="FFFFFF"/>
        </w:rPr>
        <w:t xml:space="preserve"> 产权转出信息公告期满后，产生两个及以上符合条件的意向受让方的，农交中心按照公告的竞价方式组织或指导实施公开竞价；只产生一个符合条件的意向受让方的，农交中心组织交易双方按挂牌价与买方报价孰高原则直接签约，意向受让方未报价的，农交中心组织交易双方按挂牌价直接签约。涉及第三人依法在同等条件下享有优先购买权的情形，按照有关法律规定执行。</w:t>
      </w:r>
    </w:p>
    <w:p w14:paraId="7151610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第十四条</w:t>
      </w:r>
      <w:r>
        <w:rPr>
          <w:rFonts w:hint="eastAsia" w:ascii="仿宋_GB2312" w:hAnsi="仿宋_GB2312" w:eastAsia="仿宋_GB2312" w:cs="仿宋_GB2312"/>
          <w:color w:val="333333"/>
          <w:sz w:val="32"/>
          <w:szCs w:val="32"/>
          <w:shd w:val="clear" w:color="auto" w:fill="FFFFFF"/>
        </w:rPr>
        <w:t xml:space="preserve"> 农交中心依据征集到的意向交易信息确定受让方。</w:t>
      </w:r>
    </w:p>
    <w:p w14:paraId="5A0544A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第十五条</w:t>
      </w:r>
      <w:r>
        <w:rPr>
          <w:rFonts w:hint="eastAsia" w:ascii="仿宋_GB2312" w:hAnsi="仿宋_GB2312" w:eastAsia="仿宋_GB2312" w:cs="仿宋_GB2312"/>
          <w:color w:val="333333"/>
          <w:sz w:val="32"/>
          <w:szCs w:val="32"/>
          <w:shd w:val="clear" w:color="auto" w:fill="FFFFFF"/>
        </w:rPr>
        <w:t xml:space="preserve"> 公开竞价方式包括协议转出、网络竞价、拍卖、招投标及其他竞价方式。</w:t>
      </w:r>
    </w:p>
    <w:p w14:paraId="1728A4F3">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第十六条</w:t>
      </w:r>
      <w:r>
        <w:rPr>
          <w:rFonts w:hint="eastAsia" w:ascii="仿宋_GB2312" w:hAnsi="仿宋_GB2312" w:eastAsia="仿宋_GB2312" w:cs="仿宋_GB2312"/>
          <w:color w:val="333333"/>
          <w:sz w:val="32"/>
          <w:szCs w:val="32"/>
          <w:shd w:val="clear" w:color="auto" w:fill="FFFFFF"/>
        </w:rPr>
        <w:t xml:space="preserve"> 竞价结束后，农交中心确定受让方后发布成交公示，公示期为3个工作日。在公示期内如有异议的，可向出让方提出异议或向相关监督部门投诉，农交中心视情形可中止交易；经公示后无异议的，在次日起</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个工作日内组织交易双方签订农村产权交易合同。</w:t>
      </w:r>
    </w:p>
    <w:p w14:paraId="0D4CBAAC">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第十七条</w:t>
      </w:r>
      <w:r>
        <w:rPr>
          <w:rFonts w:hint="eastAsia" w:ascii="仿宋_GB2312" w:hAnsi="仿宋_GB2312" w:eastAsia="仿宋_GB2312" w:cs="仿宋_GB2312"/>
          <w:color w:val="333333"/>
          <w:sz w:val="32"/>
          <w:szCs w:val="32"/>
          <w:shd w:val="clear" w:color="auto" w:fill="FFFFFF"/>
        </w:rPr>
        <w:t xml:space="preserve"> 交易合同签订后，农交中心向受让方出具《产权交易结算通知书》。受让方将交易价款支付到农交中心指定的结算账户。受让方交纳的交易保证金按照相关约定转为交易价款。交易合同约定价款支付方式为分期付款的，按照合同约定执行。</w:t>
      </w:r>
    </w:p>
    <w:p w14:paraId="53A21B65">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第十八条</w:t>
      </w:r>
      <w:r>
        <w:rPr>
          <w:rFonts w:hint="eastAsia" w:ascii="仿宋_GB2312" w:hAnsi="仿宋_GB2312" w:eastAsia="仿宋_GB2312" w:cs="仿宋_GB2312"/>
          <w:color w:val="333333"/>
          <w:sz w:val="32"/>
          <w:szCs w:val="32"/>
          <w:shd w:val="clear" w:color="auto" w:fill="FFFFFF"/>
        </w:rPr>
        <w:t xml:space="preserve"> 受让方将交易价款交付至农交中心结算账户后，对符合交易价款划出条件的，农交中心向出让方划出交易价款。</w:t>
      </w:r>
    </w:p>
    <w:p w14:paraId="0D01D36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第十九条</w:t>
      </w:r>
      <w:r>
        <w:rPr>
          <w:rFonts w:hint="eastAsia" w:ascii="仿宋_GB2312" w:hAnsi="仿宋_GB2312" w:eastAsia="仿宋_GB2312" w:cs="仿宋_GB2312"/>
          <w:color w:val="333333"/>
          <w:sz w:val="32"/>
          <w:szCs w:val="32"/>
          <w:shd w:val="clear" w:color="auto" w:fill="FFFFFF"/>
        </w:rPr>
        <w:t xml:space="preserve"> 交易双方应当按照农交中心的收费标准支付交易服务费等费用，农交中心在收到服务费用后，出具收费凭证。</w:t>
      </w:r>
    </w:p>
    <w:p w14:paraId="1A17C48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第二十条</w:t>
      </w:r>
      <w:r>
        <w:rPr>
          <w:rFonts w:hint="eastAsia" w:ascii="仿宋_GB2312" w:hAnsi="仿宋_GB2312" w:eastAsia="仿宋_GB2312" w:cs="仿宋_GB2312"/>
          <w:color w:val="333333"/>
          <w:sz w:val="32"/>
          <w:szCs w:val="32"/>
          <w:shd w:val="clear" w:color="auto" w:fill="FFFFFF"/>
        </w:rPr>
        <w:t xml:space="preserve"> 产权交易双方签订农村产权交易合同，受让方依据合同约定将交易价款交付至农交中心资金结算账户，且交易双方支付交易服务费用后，农交中心在</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个工作日内出具农村产权交易鉴证。</w:t>
      </w:r>
    </w:p>
    <w:p w14:paraId="1CDA312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第二十一条</w:t>
      </w:r>
      <w:r>
        <w:rPr>
          <w:rFonts w:hint="eastAsia" w:ascii="仿宋_GB2312" w:hAnsi="仿宋_GB2312" w:eastAsia="仿宋_GB2312" w:cs="仿宋_GB2312"/>
          <w:color w:val="333333"/>
          <w:sz w:val="32"/>
          <w:szCs w:val="32"/>
          <w:shd w:val="clear" w:color="auto" w:fill="FFFFFF"/>
        </w:rPr>
        <w:t xml:space="preserve"> 交易行为需要政府有关部门批准的，农交中心应当在交易行为获得政府相关部门批准后出具农村产权交易鉴证。</w:t>
      </w:r>
    </w:p>
    <w:p w14:paraId="799D5A8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第二十二条</w:t>
      </w:r>
      <w:r>
        <w:rPr>
          <w:rFonts w:hint="eastAsia" w:ascii="仿宋_GB2312" w:hAnsi="仿宋_GB2312" w:eastAsia="仿宋_GB2312" w:cs="仿宋_GB2312"/>
          <w:color w:val="333333"/>
          <w:sz w:val="32"/>
          <w:szCs w:val="32"/>
          <w:shd w:val="clear" w:color="auto" w:fill="FFFFFF"/>
        </w:rPr>
        <w:t xml:space="preserve"> 交易双方凭农村产权交易鉴证办理标的权属转出手续。</w:t>
      </w:r>
    </w:p>
    <w:p w14:paraId="24A7867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第二十三条</w:t>
      </w:r>
      <w:r>
        <w:rPr>
          <w:rFonts w:hint="eastAsia" w:ascii="仿宋_GB2312" w:hAnsi="仿宋_GB2312" w:eastAsia="仿宋_GB2312" w:cs="仿宋_GB2312"/>
          <w:color w:val="333333"/>
          <w:sz w:val="32"/>
          <w:szCs w:val="32"/>
          <w:shd w:val="clear" w:color="auto" w:fill="FFFFFF"/>
        </w:rPr>
        <w:t xml:space="preserve"> 交易程序中的进场交易、受理登记、信息发布与反馈、交易方式、交易保证金、交易款项结算、合同签订、出具产权交易鉴证、中止和终结、争议处理等环节执行农交中心发布的《石门县农村产权交易中心农村产权流转交易规则（试行）》和对应的交易规则。</w:t>
      </w:r>
    </w:p>
    <w:p w14:paraId="49DEB31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第二十四条</w:t>
      </w:r>
      <w:r>
        <w:rPr>
          <w:rFonts w:hint="eastAsia" w:ascii="仿宋_GB2312" w:hAnsi="仿宋_GB2312" w:eastAsia="仿宋_GB2312" w:cs="仿宋_GB2312"/>
          <w:color w:val="333333"/>
          <w:sz w:val="32"/>
          <w:szCs w:val="32"/>
          <w:shd w:val="clear" w:color="auto" w:fill="FFFFFF"/>
        </w:rPr>
        <w:t xml:space="preserve"> 本规则的解释权和修订权归</w:t>
      </w:r>
      <w:r>
        <w:rPr>
          <w:rFonts w:hint="eastAsia" w:ascii="___WRD_EMBED_SUB_45" w:hAnsi="___WRD_EMBED_SUB_45" w:eastAsia="___WRD_EMBED_SUB_45" w:cs="___WRD_EMBED_SUB_45"/>
          <w:color w:val="333333"/>
          <w:sz w:val="32"/>
          <w:szCs w:val="32"/>
          <w:shd w:val="clear" w:color="auto" w:fill="FFFFFF"/>
        </w:rPr>
        <w:t>石门县</w:t>
      </w:r>
      <w:r>
        <w:rPr>
          <w:rFonts w:hint="eastAsia" w:ascii="仿宋_GB2312" w:hAnsi="仿宋_GB2312" w:eastAsia="仿宋_GB2312" w:cs="仿宋_GB2312"/>
          <w:color w:val="333333"/>
          <w:sz w:val="32"/>
          <w:szCs w:val="32"/>
          <w:shd w:val="clear" w:color="auto" w:fill="FFFFFF"/>
        </w:rPr>
        <w:t>农村产权交易中心。</w:t>
      </w:r>
    </w:p>
    <w:p w14:paraId="7F8938B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第二十五条</w:t>
      </w:r>
      <w:r>
        <w:rPr>
          <w:rFonts w:hint="eastAsia" w:ascii="仿宋_GB2312" w:hAnsi="仿宋_GB2312" w:eastAsia="仿宋_GB2312" w:cs="仿宋_GB2312"/>
          <w:color w:val="333333"/>
          <w:sz w:val="32"/>
          <w:szCs w:val="32"/>
          <w:shd w:val="clear" w:color="auto" w:fill="FFFFFF"/>
        </w:rPr>
        <w:t xml:space="preserve"> 本规则自印发之日起执行。</w:t>
      </w:r>
    </w:p>
    <w:p w14:paraId="4E52C47D">
      <w:pPr>
        <w:spacing w:line="560" w:lineRule="exact"/>
        <w:rPr>
          <w:rFonts w:ascii="仿宋_GB2312" w:hAnsi="仿宋_GB2312" w:eastAsia="仿宋_GB2312" w:cs="仿宋_GB2312"/>
        </w:rPr>
        <w:sectPr>
          <w:pgSz w:w="11906" w:h="16838"/>
          <w:pgMar w:top="2098" w:right="1474" w:bottom="1984" w:left="1587" w:header="851" w:footer="992" w:gutter="0"/>
          <w:pgNumType w:fmt="numberInDash"/>
          <w:cols w:space="425" w:num="1"/>
          <w:docGrid w:type="lines" w:linePitch="312" w:charSpace="0"/>
        </w:sectPr>
      </w:pPr>
    </w:p>
    <w:p w14:paraId="79A7C926">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123" w:name="_Toc18267"/>
      <w:bookmarkStart w:id="124" w:name="_Toc17139"/>
      <w:bookmarkStart w:id="125" w:name="_Toc1407"/>
      <w:bookmarkStart w:id="126" w:name="_Toc20873"/>
      <w:bookmarkStart w:id="127" w:name="_Toc7661"/>
      <w:bookmarkStart w:id="128" w:name="_Toc20001"/>
      <w:bookmarkStart w:id="129" w:name="_Toc18668"/>
      <w:bookmarkStart w:id="130" w:name="_Toc22830"/>
      <w:bookmarkStart w:id="131" w:name="_Toc28286"/>
      <w:bookmarkStart w:id="132" w:name="_Toc17554"/>
      <w:bookmarkStart w:id="133" w:name="_Toc7035"/>
      <w:bookmarkStart w:id="134" w:name="_Toc14184"/>
      <w:bookmarkStart w:id="135" w:name="_Toc16291"/>
      <w:bookmarkStart w:id="136" w:name="_Toc24526"/>
      <w:bookmarkStart w:id="137" w:name="_Toc21955"/>
      <w:bookmarkStart w:id="138" w:name="_Toc16146"/>
      <w:bookmarkStart w:id="139" w:name="_Toc14876"/>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13D588EC">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农村建设项目招标与采购交易规则（试行）</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484DF8A6">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p>
    <w:p w14:paraId="508AE27C">
      <w:pPr>
        <w:pStyle w:val="13"/>
        <w:shd w:val="clear" w:color="auto" w:fill="FFFFFF"/>
        <w:spacing w:beforeAutospacing="0" w:afterAutospacing="0" w:line="560" w:lineRule="exact"/>
        <w:ind w:firstLine="640" w:firstLineChars="200"/>
        <w:jc w:val="center"/>
        <w:outlineLvl w:val="1"/>
        <w:rPr>
          <w:rStyle w:val="18"/>
          <w:rFonts w:ascii="仿宋_GB2312" w:hAnsi="仿宋_GB2312" w:eastAsia="仿宋_GB2312" w:cs="仿宋_GB2312"/>
          <w:color w:val="333333"/>
          <w:sz w:val="32"/>
          <w:szCs w:val="32"/>
          <w:shd w:val="clear" w:color="auto" w:fill="FFFFFF"/>
        </w:rPr>
      </w:pPr>
      <w:bookmarkStart w:id="140" w:name="_Toc20096"/>
      <w:r>
        <w:rPr>
          <w:rStyle w:val="18"/>
          <w:rFonts w:hint="eastAsia" w:ascii="黑体" w:hAnsi="黑体" w:eastAsia="黑体" w:cs="黑体"/>
          <w:b w:val="0"/>
          <w:bCs/>
          <w:color w:val="333333"/>
          <w:sz w:val="32"/>
          <w:szCs w:val="32"/>
          <w:shd w:val="clear" w:color="auto" w:fill="FFFFFF"/>
        </w:rPr>
        <w:t>第一章 总 则</w:t>
      </w:r>
      <w:bookmarkEnd w:id="140"/>
    </w:p>
    <w:p w14:paraId="7B1F84C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了规范在石门县农村产权交易中心（以下简称“农交中心”）进行的农村建设项目招标和采购行为，保护农村集体所有者和经营者的合法权益，促进农村建设项目招标，根据《中华人民共和国招标投标法》《中华人民共和国招标投标法实施条例》《中华人民共和国政府采购法》《中华人民共和国财政部政府采购非招标采购方式管理办法》《农业部、民政部、财政部、审计署关于推动农村集体财务管理和监督经常化规范化制度化的意见》依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农村产权流转交易管理办法（试行）》和《石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农村产权交易中心农村产权流转交易规则（试行）》等相关规定，制定本规则。</w:t>
      </w:r>
    </w:p>
    <w:p w14:paraId="03353C42">
      <w:pPr>
        <w:pStyle w:val="13"/>
        <w:shd w:val="clear" w:color="auto" w:fill="FFFFFF"/>
        <w:spacing w:beforeAutospacing="0" w:afterAutospacing="0" w:line="560" w:lineRule="exact"/>
        <w:ind w:firstLine="643" w:firstLineChars="200"/>
        <w:rPr>
          <w:rFonts w:hint="eastAsia" w:ascii="仿宋_GB2312" w:hAnsi="仿宋_GB2312" w:eastAsia="仿宋_GB2312" w:cs="仿宋_GB2312"/>
          <w:color w:val="333333"/>
          <w:sz w:val="32"/>
          <w:szCs w:val="32"/>
          <w:lang w:val="en-US" w:eastAsia="zh-CN"/>
        </w:rPr>
      </w:pPr>
      <w:r>
        <w:rPr>
          <w:rStyle w:val="18"/>
          <w:rFonts w:hint="eastAsia" w:ascii="仿宋_GB2312" w:hAnsi="仿宋_GB2312" w:eastAsia="仿宋_GB2312" w:cs="仿宋_GB2312"/>
          <w:color w:val="333333"/>
          <w:sz w:val="32"/>
          <w:szCs w:val="32"/>
          <w:shd w:val="clear" w:color="auto" w:fill="FFFFFF"/>
        </w:rPr>
        <w:t xml:space="preserve">第二条 </w:t>
      </w:r>
      <w:r>
        <w:rPr>
          <w:rFonts w:hint="eastAsia" w:ascii="仿宋_GB2312" w:hAnsi="仿宋_GB2312" w:eastAsia="仿宋_GB2312" w:cs="仿宋_GB2312"/>
          <w:color w:val="333333"/>
          <w:sz w:val="32"/>
          <w:szCs w:val="32"/>
          <w:shd w:val="clear" w:color="auto" w:fill="FFFFFF"/>
        </w:rPr>
        <w:t>本</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行政区域内农村集体经济组织使用村级资金采购货物、工程和劳务适用本规则。农村集体经济组织采购类交易应当遵循公开透明原则、公平竞争原则、公正原则和诚实信用原则。</w:t>
      </w:r>
      <w:r>
        <w:rPr>
          <w:rFonts w:hint="eastAsia" w:ascii="仿宋_GB2312" w:hAnsi="仿宋_GB2312" w:eastAsia="仿宋_GB2312" w:cs="仿宋_GB2312"/>
          <w:color w:val="333333"/>
          <w:sz w:val="32"/>
          <w:szCs w:val="32"/>
          <w:shd w:val="clear" w:color="auto" w:fill="FFFFFF"/>
          <w:lang w:val="en-US" w:eastAsia="zh-CN"/>
        </w:rPr>
        <w:t xml:space="preserve"> </w:t>
      </w:r>
    </w:p>
    <w:p w14:paraId="2C55569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农村建设项目招标与采购活动包括：采取招标方式（公开招标、邀请招标）的建设工程；采取采购（竞争性谈判、单一来源采购、询价）方式采购货物、工程和服务；采取网络采购（非招标采购、非政府采购）方式采购的货物、工程和服务。</w:t>
      </w:r>
    </w:p>
    <w:p w14:paraId="60E6C10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农村建设项目需招标与采购的，招标与采购活动可以在所在地的农村产权交易服务站进行，也可以在石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农村产权交易中心进行。</w:t>
      </w:r>
    </w:p>
    <w:p w14:paraId="0F8938C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招标与采购活动应当遵循公开、公平、公正和诚实信用的原则。</w:t>
      </w:r>
    </w:p>
    <w:p w14:paraId="1E53624A">
      <w:pPr>
        <w:pStyle w:val="13"/>
        <w:shd w:val="clear" w:color="auto" w:fill="FFFFFF"/>
        <w:spacing w:beforeAutospacing="0" w:afterAutospacing="0" w:line="560" w:lineRule="exact"/>
        <w:ind w:firstLine="640" w:firstLineChars="200"/>
        <w:jc w:val="center"/>
        <w:outlineLvl w:val="1"/>
        <w:rPr>
          <w:rFonts w:ascii="方正仿宋_GB2312" w:hAnsi="方正仿宋_GB2312" w:eastAsia="方正仿宋_GB2312" w:cs="方正仿宋_GB2312"/>
          <w:bCs/>
          <w:color w:val="333333"/>
          <w:sz w:val="32"/>
          <w:szCs w:val="32"/>
        </w:rPr>
      </w:pPr>
      <w:bookmarkStart w:id="141" w:name="_Toc17023"/>
      <w:r>
        <w:rPr>
          <w:rStyle w:val="18"/>
          <w:rFonts w:hint="eastAsia" w:ascii="黑体" w:hAnsi="黑体" w:eastAsia="黑体" w:cs="黑体"/>
          <w:b w:val="0"/>
          <w:bCs/>
          <w:color w:val="333333"/>
          <w:sz w:val="32"/>
          <w:szCs w:val="32"/>
          <w:shd w:val="clear" w:color="auto" w:fill="FFFFFF"/>
        </w:rPr>
        <w:t>第二章 招标投标</w:t>
      </w:r>
      <w:bookmarkEnd w:id="141"/>
    </w:p>
    <w:p w14:paraId="7FEE755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进行农村建设项目的勘察、设计、施工、监理以及与工程建设有关的重要设备、材料等的招标项目，适用范围包括：</w:t>
      </w:r>
    </w:p>
    <w:p w14:paraId="7A1971B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（一）农村集体经济组织凡使用国有资金、集体资金、银行贷款、援助资金投资的项目或国家、集体融资的投资项目；</w:t>
      </w:r>
    </w:p>
    <w:p w14:paraId="3D2D2A5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（二）农村集体经济组织基础设施工程、水利工程、一事一议筹资项目、四清一绿项目、设备采购及安装等专业工程的施工、采购、修缮、安装项目；</w:t>
      </w:r>
    </w:p>
    <w:p w14:paraId="08BF0F6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（三）农村合作社，家庭农场等农业新型经营主体使用国有资金、集体资金、银行贷款、援助资金投资建设的项目。</w:t>
      </w:r>
    </w:p>
    <w:p w14:paraId="24BD845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法律或者国务院对必须进行招标的其他项目的范围有规定的，依照其规定。</w:t>
      </w:r>
    </w:p>
    <w:p w14:paraId="158A7C0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招标分为公开招标和邀请招标。</w:t>
      </w:r>
    </w:p>
    <w:p w14:paraId="7CC51FD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公开招标，是指招标人以招标公告的方式邀请不特定的法人或者其他组织投标。</w:t>
      </w:r>
    </w:p>
    <w:p w14:paraId="31643CC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邀请招标，是指招标人以投标邀请书的方式邀请特定的法人或者其他组织投标。</w:t>
      </w:r>
    </w:p>
    <w:p w14:paraId="6D7C498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第八条 </w:t>
      </w:r>
      <w:r>
        <w:rPr>
          <w:rFonts w:hint="eastAsia" w:ascii="仿宋_GB2312" w:hAnsi="仿宋_GB2312" w:eastAsia="仿宋_GB2312" w:cs="仿宋_GB2312"/>
          <w:color w:val="333333"/>
          <w:sz w:val="32"/>
          <w:szCs w:val="32"/>
          <w:shd w:val="clear" w:color="auto" w:fill="FFFFFF"/>
        </w:rPr>
        <w:t>依法必须进行招标的项目，国有资金占控股或者主导地位的，应当公开投标；但有下列情形之一的，可以邀请招标：</w:t>
      </w:r>
    </w:p>
    <w:p w14:paraId="541D927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（一）技术复杂、有特殊要求或者受自然环境限制，只有少量潜在投标人可供选择；</w:t>
      </w:r>
    </w:p>
    <w:p w14:paraId="0D88B19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（二）采用公开招标方式的费用占项目合同金额的比例过大。</w:t>
      </w:r>
    </w:p>
    <w:p w14:paraId="5011462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有前款第二项所列情形，属于本规则第十一条规定的项目，由项目审批、核准部门在审批、核准项目时作出认定；其他项目由招标人申请有关行政监督部门作出认定。</w:t>
      </w:r>
    </w:p>
    <w:p w14:paraId="41BCC8F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招标人具有编制招标文件和组织评标能力的，可以自行办理招标事宜。任何单位和个人不得强制其委托招标代理机构办理招标事宜。</w:t>
      </w:r>
    </w:p>
    <w:p w14:paraId="027594A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依法必须招标的项目，招标人自行办理招标事宜的，应当向有关行政监督部门备案。招标人自行办理招标事宜的，应当具有编制招标文件和组织评标的能力，具体包括：</w:t>
      </w:r>
    </w:p>
    <w:p w14:paraId="73D5837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（一）具有与招标项目规模和复杂程度相适应的专业技术力量；</w:t>
      </w:r>
    </w:p>
    <w:p w14:paraId="6122600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（二）设有专门的招标机构或者拥有三名以上的专职招标业务人员；</w:t>
      </w:r>
    </w:p>
    <w:p w14:paraId="7ECAC2A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（三）熟悉和掌握招标投标法律、法规。</w:t>
      </w:r>
    </w:p>
    <w:p w14:paraId="4399B5B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不具备前款规定条件之一的，招标人应当委托具有相应资质的招标代理机构办理招标事宜。</w:t>
      </w:r>
    </w:p>
    <w:p w14:paraId="7ADDFB4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依法必须招标的工程建设项目，招标人自行招标的，在向项目审批部门上报项目可行性研究报告时，应当一并报送以下书面材料：</w:t>
      </w:r>
    </w:p>
    <w:p w14:paraId="30FE016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（一）项目法人营业执照副本、法人资格证书或者项目法人组建文件；</w:t>
      </w:r>
    </w:p>
    <w:p w14:paraId="1B87A26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（二）与招标项目相适应的专业技术力量情况；</w:t>
      </w:r>
    </w:p>
    <w:p w14:paraId="3D6E442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（三）内设的招标机构或者专职招标业务人员的基本情况；</w:t>
      </w:r>
    </w:p>
    <w:p w14:paraId="4A3953E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（四）拟使用的专家库情况；</w:t>
      </w:r>
    </w:p>
    <w:p w14:paraId="14538BB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（五）法律、法规规定的其他材料。</w:t>
      </w:r>
    </w:p>
    <w:p w14:paraId="642304E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招标代理机构是依法设立、从事招标代理业务并提供相关服务的社会中介组织。招标代理机构具有法律和国务院规定由有关部门认定的资格。</w:t>
      </w:r>
    </w:p>
    <w:p w14:paraId="2E7FF89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招标代理机构与行政机关和其他国家机关不得存在隶属关系或者其他利益关系。</w:t>
      </w:r>
    </w:p>
    <w:p w14:paraId="7E6FCD0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招标代理机构在其资格和招标人委托的范围内开展招标代理业务，任何单位和个人不得非法干涉。</w:t>
      </w:r>
    </w:p>
    <w:p w14:paraId="22199D8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招标人有权自行选择招标代理机构，委托其办理招标事宜。招标人在农交中心开展招标活动的，可</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以选择农交中心服务会员中的招标代理机构</w:t>
      </w:r>
      <w:r>
        <w:rPr>
          <w:rFonts w:hint="eastAsia" w:ascii="仿宋_GB2312" w:hAnsi="仿宋_GB2312" w:eastAsia="仿宋_GB2312" w:cs="仿宋_GB2312"/>
          <w:color w:val="333333"/>
          <w:sz w:val="32"/>
          <w:szCs w:val="32"/>
          <w:shd w:val="clear" w:color="auto" w:fill="FFFFFF"/>
        </w:rPr>
        <w:t>，也可以选择其他招标代理机构。选择其他招标代理机构的，该招标代理机构必须办理农交中心的服务会员认定手续。</w:t>
      </w:r>
    </w:p>
    <w:p w14:paraId="4BBBF91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任何单位和个人不得以任何方式为招标人指定招标代理机构。</w:t>
      </w:r>
    </w:p>
    <w:p w14:paraId="054EB22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招标人应当与被委托的招标代理机构签订书面委托合同。</w:t>
      </w:r>
    </w:p>
    <w:p w14:paraId="3716609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第十五条 </w:t>
      </w:r>
      <w:r>
        <w:rPr>
          <w:rFonts w:hint="eastAsia" w:ascii="仿宋_GB2312" w:hAnsi="仿宋_GB2312" w:eastAsia="仿宋_GB2312" w:cs="仿宋_GB2312"/>
          <w:color w:val="333333"/>
          <w:sz w:val="32"/>
          <w:szCs w:val="32"/>
          <w:shd w:val="clear" w:color="auto" w:fill="FFFFFF"/>
        </w:rPr>
        <w:t>招标人在招标文件中要求投标人缴纳投标保证金的，投标人要在规定时间内，按招标人要求缴纳足额投标保证金至石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农村产权交易中心专户管理。</w:t>
      </w:r>
    </w:p>
    <w:p w14:paraId="7085089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第十六条 </w:t>
      </w:r>
      <w:r>
        <w:rPr>
          <w:rFonts w:hint="eastAsia" w:ascii="仿宋_GB2312" w:hAnsi="仿宋_GB2312" w:eastAsia="仿宋_GB2312" w:cs="仿宋_GB2312"/>
          <w:color w:val="333333"/>
          <w:sz w:val="32"/>
          <w:szCs w:val="32"/>
          <w:shd w:val="clear" w:color="auto" w:fill="FFFFFF"/>
        </w:rPr>
        <w:t>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农村产权交易平台官网是农村建设项目招标信息发布平台。</w:t>
      </w:r>
    </w:p>
    <w:p w14:paraId="3AA7E42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第十七条 </w:t>
      </w:r>
      <w:r>
        <w:rPr>
          <w:rFonts w:hint="eastAsia" w:ascii="仿宋_GB2312" w:hAnsi="仿宋_GB2312" w:eastAsia="仿宋_GB2312" w:cs="仿宋_GB2312"/>
          <w:color w:val="333333"/>
          <w:sz w:val="32"/>
          <w:szCs w:val="32"/>
          <w:shd w:val="clear" w:color="auto" w:fill="FFFFFF"/>
        </w:rPr>
        <w:t>招标代理机构在中国招标与采购网发布同时应提交相同内容的招标公告在石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农村产权交易平台官网发布。</w:t>
      </w:r>
    </w:p>
    <w:p w14:paraId="55E938E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第十八条 </w:t>
      </w:r>
      <w:r>
        <w:rPr>
          <w:rFonts w:hint="eastAsia" w:ascii="仿宋_GB2312" w:hAnsi="仿宋_GB2312" w:eastAsia="仿宋_GB2312" w:cs="仿宋_GB2312"/>
          <w:color w:val="333333"/>
          <w:sz w:val="32"/>
          <w:szCs w:val="32"/>
          <w:shd w:val="clear" w:color="auto" w:fill="FFFFFF"/>
        </w:rPr>
        <w:t>招标代理机构负责发售招标文件并审核投标人资质，石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农村产权交易中心在收到招标代理机构提交的《确认投标保证金函》之日起两个工作日内核查投标保证金到账情况，若未到账需及时告知招标代理机构。</w:t>
      </w:r>
    </w:p>
    <w:p w14:paraId="6F3A179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第十九条 </w:t>
      </w:r>
      <w:r>
        <w:rPr>
          <w:rFonts w:hint="eastAsia" w:ascii="仿宋_GB2312" w:hAnsi="仿宋_GB2312" w:eastAsia="仿宋_GB2312" w:cs="仿宋_GB2312"/>
          <w:color w:val="333333"/>
          <w:sz w:val="32"/>
          <w:szCs w:val="32"/>
          <w:shd w:val="clear" w:color="auto" w:fill="FFFFFF"/>
        </w:rPr>
        <w:t>招标人终止招标的，应当及时在石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平台官网发布公告，或者以书面形式通知被邀请的或者已经获取资格预审文件、招标文件的潜在投标人。已经发售资格预审文件、招标文件或者已经收取投标保证金的，招标人应当及时退还收取的资格预审文件、招标文件的费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农村产权交易中心退还专户管理的投标保证金。</w:t>
      </w:r>
    </w:p>
    <w:p w14:paraId="22A7015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投标人撤回已提交的投标文件，应当在投标截止时间前书面通知招标人。石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农村产权交易中心专户管理的投标保证金，应当自收到投标人书面撤回通知之日起5日内退还。</w:t>
      </w:r>
    </w:p>
    <w:p w14:paraId="7BEB8DE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投标截止后投标人撤销投标文件的，对于石门县农村产权交易中心专户管理的投标保证金，由招标人决定是否退还给投标人或者转交给招标人。</w:t>
      </w:r>
    </w:p>
    <w:p w14:paraId="16B0615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第二十一条 </w:t>
      </w:r>
      <w:r>
        <w:rPr>
          <w:rFonts w:hint="eastAsia" w:ascii="仿宋_GB2312" w:hAnsi="仿宋_GB2312" w:eastAsia="仿宋_GB2312" w:cs="仿宋_GB2312"/>
          <w:color w:val="333333"/>
          <w:sz w:val="32"/>
          <w:szCs w:val="32"/>
          <w:shd w:val="clear" w:color="auto" w:fill="FFFFFF"/>
        </w:rPr>
        <w:t>招标方应至少在项目开标前</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日向所属</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域的镇（街）、农经主管部门及其他部门相关人员发送邀请函，邀请相关人员莅临开标现场。</w:t>
      </w:r>
    </w:p>
    <w:p w14:paraId="0794035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农村产权交易中心经办人员做好《石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农村产权交易中心农村建设项目申请书》并留存。</w:t>
      </w:r>
    </w:p>
    <w:p w14:paraId="54507F7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评标由招标人依法组建的评标委员会负责。</w:t>
      </w:r>
    </w:p>
    <w:p w14:paraId="2F37AD5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第二十四条 </w:t>
      </w:r>
      <w:r>
        <w:rPr>
          <w:rFonts w:hint="eastAsia" w:ascii="仿宋_GB2312" w:hAnsi="仿宋_GB2312" w:eastAsia="仿宋_GB2312" w:cs="仿宋_GB2312"/>
          <w:color w:val="333333"/>
          <w:sz w:val="32"/>
          <w:szCs w:val="32"/>
          <w:shd w:val="clear" w:color="auto" w:fill="FFFFFF"/>
        </w:rPr>
        <w:t>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农村产权交易中心收到招标代理机构提交的中标结果公示文件后，与中国招标与采购网站核对一致后在石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农村产权交易中心官网发布。</w:t>
      </w:r>
    </w:p>
    <w:p w14:paraId="060093C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中标公示期过后，招标代理机构向石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农村产权交易中心提交中标结果通知文件，石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农村产权交易中心与中国招标与采购网站核对一致后在石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农村产权交易中心官网发布。</w:t>
      </w:r>
    </w:p>
    <w:p w14:paraId="5F33131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第二十五条 </w:t>
      </w:r>
      <w:r>
        <w:rPr>
          <w:rFonts w:hint="eastAsia" w:ascii="仿宋_GB2312" w:hAnsi="仿宋_GB2312" w:eastAsia="仿宋_GB2312" w:cs="仿宋_GB2312"/>
          <w:color w:val="333333"/>
          <w:sz w:val="32"/>
          <w:szCs w:val="32"/>
          <w:shd w:val="clear" w:color="auto" w:fill="FFFFFF"/>
        </w:rPr>
        <w:t>石门</w:t>
      </w:r>
      <w:r>
        <w:rPr>
          <w:rFonts w:hint="eastAsia" w:ascii="___WRD_EMBED_SUB_45" w:hAnsi="___WRD_EMBED_SUB_45" w:eastAsia="___WRD_EMBED_SUB_45" w:cs="___WRD_EMBED_SUB_45"/>
          <w:color w:val="333333"/>
          <w:sz w:val="32"/>
          <w:szCs w:val="32"/>
          <w:shd w:val="clear" w:color="auto" w:fill="FFFFFF"/>
        </w:rPr>
        <w:t>县</w:t>
      </w:r>
      <w:r>
        <w:rPr>
          <w:rFonts w:hint="eastAsia" w:ascii="仿宋_GB2312" w:hAnsi="仿宋_GB2312" w:eastAsia="仿宋_GB2312" w:cs="仿宋_GB2312"/>
          <w:color w:val="333333"/>
          <w:sz w:val="32"/>
          <w:szCs w:val="32"/>
          <w:shd w:val="clear" w:color="auto" w:fill="FFFFFF"/>
        </w:rPr>
        <w:t>农村产权交易中心在收到招标方出具的《关于退还投标保证金的函》之日起3个工作日内向中标人和未中标的投标人退还投标保证金 。</w:t>
      </w:r>
    </w:p>
    <w:p w14:paraId="4570173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xml:space="preserve"> 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农村产权交易中心在退还投标人保证金后，依据招标结果为招标方和中标方出具鉴证书。</w:t>
      </w:r>
    </w:p>
    <w:p w14:paraId="7838A712">
      <w:pPr>
        <w:pStyle w:val="13"/>
        <w:shd w:val="clear" w:color="auto" w:fill="FFFFFF"/>
        <w:spacing w:beforeAutospacing="0" w:afterAutospacing="0" w:line="560" w:lineRule="exact"/>
        <w:ind w:firstLine="640" w:firstLineChars="200"/>
        <w:jc w:val="center"/>
        <w:outlineLvl w:val="1"/>
        <w:rPr>
          <w:rFonts w:ascii="黑体" w:hAnsi="黑体" w:eastAsia="黑体" w:cs="黑体"/>
          <w:bCs/>
          <w:color w:val="333333"/>
          <w:sz w:val="32"/>
          <w:szCs w:val="32"/>
        </w:rPr>
      </w:pPr>
      <w:bookmarkStart w:id="142" w:name="_Toc21044"/>
      <w:r>
        <w:rPr>
          <w:rStyle w:val="18"/>
          <w:rFonts w:hint="eastAsia" w:ascii="黑体" w:hAnsi="黑体" w:eastAsia="黑体" w:cs="黑体"/>
          <w:b w:val="0"/>
          <w:bCs/>
          <w:color w:val="333333"/>
          <w:sz w:val="32"/>
          <w:szCs w:val="32"/>
          <w:shd w:val="clear" w:color="auto" w:fill="FFFFFF"/>
        </w:rPr>
        <w:t>第四章 网络采购</w:t>
      </w:r>
      <w:bookmarkEnd w:id="142"/>
    </w:p>
    <w:p w14:paraId="306E5FE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xml:space="preserve"> 网络采购是指农村集体经济组织、农村合作社，家庭农场、法人、自然人、其他组织等采购人依法采取非招标投标、非政府采购方式，在石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农村产权交易中心官网挂牌发布信息，用网络竞价的形式采购货物、工程、服务。</w:t>
      </w:r>
    </w:p>
    <w:p w14:paraId="15626FF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第二十八条</w:t>
      </w:r>
      <w:r>
        <w:rPr>
          <w:rFonts w:hint="eastAsia" w:ascii="仿宋_GB2312" w:hAnsi="仿宋_GB2312" w:eastAsia="仿宋_GB2312" w:cs="仿宋_GB2312"/>
          <w:color w:val="333333"/>
          <w:sz w:val="32"/>
          <w:szCs w:val="32"/>
          <w:shd w:val="clear" w:color="auto" w:fill="FFFFFF"/>
        </w:rPr>
        <w:t xml:space="preserve"> 农交中心依据采购人提交的材料制作挂牌信息，在石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农村产权交易中心的网站进行信息发布，挂牌时间不得少于20日。</w:t>
      </w:r>
    </w:p>
    <w:p w14:paraId="7C6D6BE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第二十九条</w:t>
      </w:r>
      <w:r>
        <w:rPr>
          <w:rFonts w:hint="eastAsia" w:ascii="仿宋_GB2312" w:hAnsi="仿宋_GB2312" w:eastAsia="仿宋_GB2312" w:cs="仿宋_GB2312"/>
          <w:color w:val="333333"/>
          <w:sz w:val="32"/>
          <w:szCs w:val="32"/>
          <w:shd w:val="clear" w:color="auto" w:fill="FFFFFF"/>
        </w:rPr>
        <w:t xml:space="preserve"> 凡对采购项目有供应意向者，应在挂牌期间直接或通过农村产权交易服务站向农交中心申请。</w:t>
      </w:r>
    </w:p>
    <w:p w14:paraId="0CD0963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第三十条</w:t>
      </w:r>
      <w:r>
        <w:rPr>
          <w:rFonts w:hint="eastAsia" w:ascii="仿宋_GB2312" w:hAnsi="仿宋_GB2312" w:eastAsia="仿宋_GB2312" w:cs="仿宋_GB2312"/>
          <w:color w:val="333333"/>
          <w:sz w:val="32"/>
          <w:szCs w:val="32"/>
          <w:shd w:val="clear" w:color="auto" w:fill="FFFFFF"/>
        </w:rPr>
        <w:t xml:space="preserve"> 挂牌期间，农交中心接受意向供应人的咨询洽谈。农交中心对意向供应人的申请进行登记，对意向供应人进行资格审查。</w:t>
      </w:r>
    </w:p>
    <w:p w14:paraId="391EAE9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符合意向供应人条件的，意向供应人要通过石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农村产权交易平台官网，按照采购人要求缴纳交易保证金，交易保证金由石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农村产权交易中心专户管理。</w:t>
      </w:r>
    </w:p>
    <w:p w14:paraId="691CBA0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第三十一条</w:t>
      </w:r>
      <w:r>
        <w:rPr>
          <w:rFonts w:hint="eastAsia" w:ascii="仿宋_GB2312" w:hAnsi="仿宋_GB2312" w:eastAsia="仿宋_GB2312" w:cs="仿宋_GB2312"/>
          <w:color w:val="333333"/>
          <w:sz w:val="32"/>
          <w:szCs w:val="32"/>
          <w:shd w:val="clear" w:color="auto" w:fill="FFFFFF"/>
        </w:rPr>
        <w:t xml:space="preserve"> 挂牌期满，如只产生一个符合条件的意向供应人，按照采购人约定终结延期挂牌或终结挂牌；产生两个及以上符合条件的意向供应人，采取网络竞价方式，采用多次性竞低办法确定供应人。</w:t>
      </w:r>
    </w:p>
    <w:p w14:paraId="0E1ABE2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第三十二条</w:t>
      </w:r>
      <w:r>
        <w:rPr>
          <w:rFonts w:hint="eastAsia" w:ascii="仿宋_GB2312" w:hAnsi="仿宋_GB2312" w:eastAsia="仿宋_GB2312" w:cs="仿宋_GB2312"/>
          <w:color w:val="333333"/>
          <w:sz w:val="32"/>
          <w:szCs w:val="32"/>
          <w:shd w:val="clear" w:color="auto" w:fill="FFFFFF"/>
        </w:rPr>
        <w:t xml:space="preserve"> 确定供应人后，交易双方签订《采购合同》。</w:t>
      </w:r>
    </w:p>
    <w:p w14:paraId="32FE66F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第三十三条</w:t>
      </w:r>
      <w:r>
        <w:rPr>
          <w:rFonts w:hint="eastAsia" w:ascii="仿宋_GB2312" w:hAnsi="仿宋_GB2312" w:eastAsia="仿宋_GB2312" w:cs="仿宋_GB2312"/>
          <w:color w:val="333333"/>
          <w:sz w:val="32"/>
          <w:szCs w:val="32"/>
          <w:shd w:val="clear" w:color="auto" w:fill="FFFFFF"/>
        </w:rPr>
        <w:t xml:space="preserve"> 交易双方通过石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农村产权交易中心官网进行成交价款结算。</w:t>
      </w:r>
    </w:p>
    <w:p w14:paraId="64C0E86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第三十四条</w:t>
      </w:r>
      <w:r>
        <w:rPr>
          <w:rFonts w:hint="eastAsia" w:ascii="仿宋_GB2312" w:hAnsi="仿宋_GB2312" w:eastAsia="仿宋_GB2312" w:cs="仿宋_GB2312"/>
          <w:color w:val="333333"/>
          <w:sz w:val="32"/>
          <w:szCs w:val="32"/>
          <w:shd w:val="clear" w:color="auto" w:fill="FFFFFF"/>
        </w:rPr>
        <w:t xml:space="preserve"> 供应人按照相关规定支付交易服务费。为了扶持农村产权的流转交易，对作为出让方的农村集体经济组织和农民，免收交易服务费用，对其他交易主体按规定收取相关费用。</w:t>
      </w:r>
    </w:p>
    <w:p w14:paraId="57A1572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第三十五条</w:t>
      </w:r>
      <w:r>
        <w:rPr>
          <w:rFonts w:hint="eastAsia" w:ascii="仿宋_GB2312" w:hAnsi="仿宋_GB2312" w:eastAsia="仿宋_GB2312" w:cs="仿宋_GB2312"/>
          <w:color w:val="333333"/>
          <w:sz w:val="32"/>
          <w:szCs w:val="32"/>
          <w:shd w:val="clear" w:color="auto" w:fill="FFFFFF"/>
        </w:rPr>
        <w:t xml:space="preserve"> 农交中心出具《石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农村产权流转交易鉴证书》。涉及权属变更的，交易双方应凭《石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农村产权流转交易鉴证书》及相关证明材料到行政主管部门办理产权变更手续。</w:t>
      </w:r>
    </w:p>
    <w:p w14:paraId="6398ED19">
      <w:pPr>
        <w:pStyle w:val="13"/>
        <w:shd w:val="clear" w:color="auto" w:fill="FFFFFF"/>
        <w:spacing w:beforeAutospacing="0" w:afterAutospacing="0" w:line="560" w:lineRule="exact"/>
        <w:ind w:firstLine="640" w:firstLineChars="200"/>
        <w:jc w:val="center"/>
        <w:outlineLvl w:val="1"/>
        <w:rPr>
          <w:rFonts w:ascii="黑体" w:hAnsi="黑体" w:eastAsia="黑体" w:cs="黑体"/>
          <w:bCs/>
          <w:color w:val="333333"/>
          <w:sz w:val="32"/>
          <w:szCs w:val="32"/>
        </w:rPr>
      </w:pPr>
      <w:bookmarkStart w:id="143" w:name="_Toc14254"/>
      <w:r>
        <w:rPr>
          <w:rStyle w:val="18"/>
          <w:rFonts w:hint="eastAsia" w:ascii="黑体" w:hAnsi="黑体" w:eastAsia="黑体" w:cs="黑体"/>
          <w:b w:val="0"/>
          <w:bCs/>
          <w:color w:val="333333"/>
          <w:sz w:val="32"/>
          <w:szCs w:val="32"/>
          <w:shd w:val="clear" w:color="auto" w:fill="FFFFFF"/>
        </w:rPr>
        <w:t>第四章 行为规范</w:t>
      </w:r>
      <w:bookmarkEnd w:id="143"/>
    </w:p>
    <w:p w14:paraId="7CCCBCE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第三十六条</w:t>
      </w:r>
      <w:r>
        <w:rPr>
          <w:rFonts w:hint="eastAsia" w:ascii="仿宋_GB2312" w:hAnsi="仿宋_GB2312" w:eastAsia="仿宋_GB2312" w:cs="仿宋_GB2312"/>
          <w:color w:val="333333"/>
          <w:sz w:val="32"/>
          <w:szCs w:val="32"/>
          <w:shd w:val="clear" w:color="auto" w:fill="FFFFFF"/>
        </w:rPr>
        <w:t xml:space="preserve"> 在农村建设项目招标与采购过程中，出现下列情形之一的，可中止招标、采购活动：</w:t>
      </w:r>
    </w:p>
    <w:p w14:paraId="5579096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（一）行政监督部门提出中止的；</w:t>
      </w:r>
    </w:p>
    <w:p w14:paraId="1F6A492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（二）交易双方提出正当理由，并经行政监督部门批准的；</w:t>
      </w:r>
    </w:p>
    <w:p w14:paraId="4B8602E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（三）交易机构认为有必要，并经有关监管部门或机构同意的；</w:t>
      </w:r>
    </w:p>
    <w:p w14:paraId="6F29998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（四）其他依法应当中止的情形。</w:t>
      </w:r>
    </w:p>
    <w:p w14:paraId="29F2B7F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第三十七条</w:t>
      </w:r>
      <w:r>
        <w:rPr>
          <w:rFonts w:hint="eastAsia" w:ascii="仿宋_GB2312" w:hAnsi="仿宋_GB2312" w:eastAsia="仿宋_GB2312" w:cs="仿宋_GB2312"/>
          <w:color w:val="333333"/>
          <w:sz w:val="32"/>
          <w:szCs w:val="32"/>
          <w:shd w:val="clear" w:color="auto" w:fill="FFFFFF"/>
        </w:rPr>
        <w:t xml:space="preserve"> 在农村建设项目招标与采购过程中，出现下列情形之一的，可终止招标、采购活动：</w:t>
      </w:r>
    </w:p>
    <w:p w14:paraId="5F87568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（一）行政监督部门提出终止的；</w:t>
      </w:r>
    </w:p>
    <w:p w14:paraId="660EE81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（二）交易双方提出正当理由，并经行政监督部门批准的；</w:t>
      </w:r>
    </w:p>
    <w:p w14:paraId="64EB521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（三）人民法院或者仲裁机构依法发出终止书面通知的；</w:t>
      </w:r>
    </w:p>
    <w:p w14:paraId="32B80C2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（四）交易机构认为有必要，并经有关监管部门或机构同意的；</w:t>
      </w:r>
    </w:p>
    <w:p w14:paraId="59B5F91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（五）其他依法应当终止招标的情形。</w:t>
      </w:r>
    </w:p>
    <w:p w14:paraId="3521126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第三十八条</w:t>
      </w:r>
      <w:r>
        <w:rPr>
          <w:rFonts w:hint="eastAsia" w:ascii="仿宋_GB2312" w:hAnsi="仿宋_GB2312" w:eastAsia="仿宋_GB2312" w:cs="仿宋_GB2312"/>
          <w:color w:val="333333"/>
          <w:sz w:val="32"/>
          <w:szCs w:val="32"/>
          <w:shd w:val="clear" w:color="auto" w:fill="FFFFFF"/>
        </w:rPr>
        <w:t xml:space="preserve"> 在招标与采购过程中，发现有下列行为的，交易机构不予交易：</w:t>
      </w:r>
    </w:p>
    <w:p w14:paraId="50CB3A8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（一）操纵或者扰乱交易秩序的；</w:t>
      </w:r>
    </w:p>
    <w:p w14:paraId="1F92243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（二）有损于交易双方进行公平交易的；</w:t>
      </w:r>
    </w:p>
    <w:p w14:paraId="4484288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（三）法律、法规、规章禁止的其他行为。</w:t>
      </w:r>
    </w:p>
    <w:p w14:paraId="1D136EA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第三十九条</w:t>
      </w:r>
      <w:r>
        <w:rPr>
          <w:rFonts w:hint="eastAsia" w:ascii="仿宋_GB2312" w:hAnsi="仿宋_GB2312" w:eastAsia="仿宋_GB2312" w:cs="仿宋_GB2312"/>
          <w:color w:val="333333"/>
          <w:sz w:val="32"/>
          <w:szCs w:val="32"/>
          <w:shd w:val="clear" w:color="auto" w:fill="FFFFFF"/>
        </w:rPr>
        <w:t xml:space="preserve"> 行政监督部门应当按照《中华人民共和国招标投标法》《中华人民共和国招标投标法实施条例》《中华人民共和国政府采购法》《中华人民共和国财政部政府采购非招标采购方式管理办法》《石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农村产权交易中心农村产权流转交易规则（试行）》的规定，对农村建设项目招标与采购活动进行监管，对违反有关规定的当事人依法进行处理。</w:t>
      </w:r>
    </w:p>
    <w:p w14:paraId="0D88CB9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第四十条</w:t>
      </w:r>
      <w:r>
        <w:rPr>
          <w:rFonts w:hint="eastAsia" w:ascii="仿宋_GB2312" w:hAnsi="仿宋_GB2312" w:eastAsia="仿宋_GB2312" w:cs="仿宋_GB2312"/>
          <w:color w:val="333333"/>
          <w:sz w:val="32"/>
          <w:szCs w:val="32"/>
          <w:shd w:val="clear" w:color="auto" w:fill="FFFFFF"/>
        </w:rPr>
        <w:t xml:space="preserve"> 在招标与采购的过程中，发生农村建设项目招标与采购纠纷的，当事人可以向所在地的农经管理部门或者农交中心申请调解，也可以向仲裁机构申请仲裁，或向人民法院提起诉讼。</w:t>
      </w:r>
    </w:p>
    <w:p w14:paraId="53F65DC7">
      <w:pPr>
        <w:pStyle w:val="13"/>
        <w:shd w:val="clear" w:color="auto" w:fill="FFFFFF"/>
        <w:spacing w:beforeAutospacing="0" w:afterAutospacing="0" w:line="560" w:lineRule="exact"/>
        <w:ind w:firstLine="640" w:firstLineChars="200"/>
        <w:jc w:val="center"/>
        <w:outlineLvl w:val="1"/>
        <w:rPr>
          <w:rFonts w:ascii="黑体" w:hAnsi="黑体" w:eastAsia="黑体" w:cs="黑体"/>
          <w:bCs/>
          <w:color w:val="333333"/>
          <w:sz w:val="32"/>
          <w:szCs w:val="32"/>
        </w:rPr>
      </w:pPr>
      <w:bookmarkStart w:id="144" w:name="_Toc610"/>
      <w:r>
        <w:rPr>
          <w:rStyle w:val="18"/>
          <w:rFonts w:hint="eastAsia" w:ascii="黑体" w:hAnsi="黑体" w:eastAsia="黑体" w:cs="黑体"/>
          <w:b w:val="0"/>
          <w:bCs/>
          <w:color w:val="333333"/>
          <w:sz w:val="32"/>
          <w:szCs w:val="32"/>
          <w:shd w:val="clear" w:color="auto" w:fill="FFFFFF"/>
        </w:rPr>
        <w:t>第六章 附 则</w:t>
      </w:r>
      <w:bookmarkEnd w:id="144"/>
    </w:p>
    <w:p w14:paraId="2D788EE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第四十一条</w:t>
      </w:r>
      <w:r>
        <w:rPr>
          <w:rFonts w:hint="eastAsia" w:ascii="仿宋_GB2312" w:hAnsi="仿宋_GB2312" w:eastAsia="仿宋_GB2312" w:cs="仿宋_GB2312"/>
          <w:color w:val="333333"/>
          <w:sz w:val="32"/>
          <w:szCs w:val="32"/>
          <w:shd w:val="clear" w:color="auto" w:fill="FFFFFF"/>
        </w:rPr>
        <w:t xml:space="preserve"> 本规则由石门县农村产权交易中心负责解释。</w:t>
      </w:r>
    </w:p>
    <w:p w14:paraId="050F3E8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第四十二条</w:t>
      </w:r>
      <w:r>
        <w:rPr>
          <w:rFonts w:hint="eastAsia" w:ascii="仿宋_GB2312" w:hAnsi="仿宋_GB2312" w:eastAsia="仿宋_GB2312" w:cs="仿宋_GB2312"/>
          <w:color w:val="333333"/>
          <w:sz w:val="32"/>
          <w:szCs w:val="32"/>
          <w:shd w:val="clear" w:color="auto" w:fill="FFFFFF"/>
        </w:rPr>
        <w:t xml:space="preserve"> 本规则自发布之日起施行。</w:t>
      </w:r>
    </w:p>
    <w:p w14:paraId="34DEE8F5">
      <w:pPr>
        <w:spacing w:line="560" w:lineRule="exact"/>
        <w:rPr>
          <w:rFonts w:ascii="仿宋_GB2312" w:hAnsi="仿宋_GB2312" w:eastAsia="仿宋_GB2312" w:cs="仿宋_GB2312"/>
        </w:rPr>
        <w:sectPr>
          <w:pgSz w:w="11906" w:h="16838"/>
          <w:pgMar w:top="2098" w:right="1474" w:bottom="1984" w:left="1587" w:header="851" w:footer="992" w:gutter="0"/>
          <w:pgNumType w:fmt="numberInDash"/>
          <w:cols w:space="425" w:num="1"/>
          <w:docGrid w:type="lines" w:linePitch="312" w:charSpace="0"/>
        </w:sectPr>
      </w:pPr>
    </w:p>
    <w:p w14:paraId="746B454B">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145" w:name="_Toc30322"/>
      <w:bookmarkStart w:id="146" w:name="_Toc2538"/>
      <w:bookmarkStart w:id="147" w:name="_Toc1521"/>
      <w:bookmarkStart w:id="148" w:name="_Toc13822"/>
      <w:bookmarkStart w:id="149" w:name="_Toc15817"/>
      <w:bookmarkStart w:id="150" w:name="_Toc16349"/>
      <w:bookmarkStart w:id="151" w:name="_Toc1310"/>
      <w:bookmarkStart w:id="152" w:name="_Toc13141"/>
      <w:bookmarkStart w:id="153" w:name="_Toc22115"/>
      <w:bookmarkStart w:id="154" w:name="_Toc10857"/>
      <w:bookmarkStart w:id="155" w:name="_Toc17931"/>
      <w:bookmarkStart w:id="156" w:name="_Toc18343"/>
      <w:bookmarkStart w:id="157" w:name="_Toc5775"/>
      <w:bookmarkStart w:id="158" w:name="_Toc17071"/>
      <w:bookmarkStart w:id="159" w:name="_Toc16379"/>
      <w:bookmarkStart w:id="160" w:name="_Toc23311"/>
      <w:bookmarkStart w:id="161" w:name="_Toc115"/>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2107A4D2">
      <w:pPr>
        <w:pStyle w:val="13"/>
        <w:shd w:val="clear" w:color="auto" w:fill="FFFFFF"/>
        <w:spacing w:beforeAutospacing="0" w:afterAutospacing="0" w:line="560" w:lineRule="exact"/>
        <w:jc w:val="center"/>
        <w:outlineLvl w:val="0"/>
        <w:rPr>
          <w:rStyle w:val="18"/>
          <w:rFonts w:ascii="黑体" w:hAnsi="黑体" w:eastAsia="黑体" w:cs="黑体"/>
          <w:b w:val="0"/>
          <w:bCs/>
          <w:color w:val="333333"/>
          <w:sz w:val="32"/>
          <w:szCs w:val="32"/>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农村闲置农房出租规则（试行）</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3D4AC922">
      <w:pPr>
        <w:pStyle w:val="13"/>
        <w:shd w:val="clear" w:color="auto" w:fill="FFFFFF"/>
        <w:spacing w:beforeAutospacing="0" w:afterAutospacing="0" w:line="560" w:lineRule="exact"/>
        <w:ind w:firstLine="640" w:firstLineChars="200"/>
        <w:jc w:val="center"/>
        <w:outlineLvl w:val="1"/>
        <w:rPr>
          <w:rFonts w:ascii="黑体" w:hAnsi="黑体" w:eastAsia="黑体" w:cs="黑体"/>
          <w:bCs/>
          <w:color w:val="333333"/>
          <w:sz w:val="32"/>
          <w:szCs w:val="32"/>
        </w:rPr>
      </w:pPr>
      <w:bookmarkStart w:id="162" w:name="_Toc4144"/>
      <w:r>
        <w:rPr>
          <w:rStyle w:val="18"/>
          <w:rFonts w:hint="eastAsia" w:ascii="黑体" w:hAnsi="黑体" w:eastAsia="黑体" w:cs="黑体"/>
          <w:b w:val="0"/>
          <w:bCs/>
          <w:color w:val="333333"/>
          <w:sz w:val="32"/>
          <w:szCs w:val="32"/>
          <w:shd w:val="clear" w:color="auto" w:fill="FFFFFF"/>
        </w:rPr>
        <w:t>第一章 总  则</w:t>
      </w:r>
      <w:bookmarkEnd w:id="162"/>
    </w:p>
    <w:p w14:paraId="7912E3B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农村房屋出租行为，维护农村房屋出租安全，保护农村房屋所有权人的合法权益，依据《中华人民共和国民法典》《不动产登记暂行条例》《中共中央国务院关于实施乡村振兴战略的意见》《中共中央国务院关于深入推进农业供给侧结构性改革加快培育农业农村发展新动能的若干意见》等法律、法规、政策规定及《石门</w:t>
      </w:r>
      <w:r>
        <w:rPr>
          <w:rFonts w:hint="eastAsia" w:ascii="___WRD_EMBED_SUB_45" w:hAnsi="___WRD_EMBED_SUB_45" w:eastAsia="___WRD_EMBED_SUB_45" w:cs="___WRD_EMBED_SUB_45"/>
          <w:color w:val="333333"/>
          <w:sz w:val="32"/>
          <w:szCs w:val="32"/>
          <w:shd w:val="clear" w:color="auto" w:fill="FFFFFF"/>
        </w:rPr>
        <w:t>县</w:t>
      </w:r>
      <w:r>
        <w:rPr>
          <w:rFonts w:hint="eastAsia" w:ascii="仿宋_GB2312" w:hAnsi="仿宋_GB2312" w:eastAsia="仿宋_GB2312" w:cs="仿宋_GB2312"/>
          <w:color w:val="333333"/>
          <w:sz w:val="32"/>
          <w:szCs w:val="32"/>
          <w:shd w:val="clear" w:color="auto" w:fill="FFFFFF"/>
        </w:rPr>
        <w:t>农村产权交易中心农村产权流转交易规则（试行）》制定本规则。</w:t>
      </w:r>
    </w:p>
    <w:p w14:paraId="64B6861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第二条</w:t>
      </w:r>
      <w:r>
        <w:rPr>
          <w:rFonts w:hint="eastAsia" w:ascii="仿宋_GB2312" w:hAnsi="仿宋_GB2312" w:eastAsia="仿宋_GB2312" w:cs="仿宋_GB2312"/>
          <w:color w:val="333333"/>
          <w:sz w:val="32"/>
          <w:szCs w:val="32"/>
          <w:shd w:val="clear" w:color="auto" w:fill="FFFFFF"/>
        </w:rPr>
        <w:t xml:space="preserve"> 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农村产权交易中心（以下简称“农交中心”）进行的农村闲置农房出租行为，适用本规则。</w:t>
      </w:r>
    </w:p>
    <w:p w14:paraId="494343E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第三条</w:t>
      </w:r>
      <w:r>
        <w:rPr>
          <w:rFonts w:hint="eastAsia" w:ascii="仿宋_GB2312" w:hAnsi="仿宋_GB2312" w:eastAsia="仿宋_GB2312" w:cs="仿宋_GB2312"/>
          <w:color w:val="333333"/>
          <w:sz w:val="32"/>
          <w:szCs w:val="32"/>
          <w:shd w:val="clear" w:color="auto" w:fill="FFFFFF"/>
        </w:rPr>
        <w:t xml:space="preserve"> 本规则所称的农村闲置农房是指农户在宅基地上建造的产权清晰、符合规划、处于闲置状态且能够安全使用的房屋。</w:t>
      </w:r>
    </w:p>
    <w:p w14:paraId="3491A29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第四条</w:t>
      </w:r>
      <w:r>
        <w:rPr>
          <w:rFonts w:hint="eastAsia" w:ascii="仿宋_GB2312" w:hAnsi="仿宋_GB2312" w:eastAsia="仿宋_GB2312" w:cs="仿宋_GB2312"/>
          <w:color w:val="333333"/>
          <w:sz w:val="32"/>
          <w:szCs w:val="32"/>
          <w:shd w:val="clear" w:color="auto" w:fill="FFFFFF"/>
        </w:rPr>
        <w:t xml:space="preserve"> 本规则所称的出租方是指在农交中心网站公开挂牌出租农村闲置农房的村集体或农户。</w:t>
      </w:r>
    </w:p>
    <w:p w14:paraId="5216EC8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第五条 </w:t>
      </w:r>
      <w:r>
        <w:rPr>
          <w:rFonts w:hint="eastAsia" w:ascii="仿宋_GB2312" w:hAnsi="仿宋_GB2312" w:eastAsia="仿宋_GB2312" w:cs="仿宋_GB2312"/>
          <w:color w:val="333333"/>
          <w:sz w:val="32"/>
          <w:szCs w:val="32"/>
          <w:shd w:val="clear" w:color="auto" w:fill="FFFFFF"/>
        </w:rPr>
        <w:t>本规则所称的意向承租方是指通过农交中心网站申请租赁农村闲置农房的报名人。</w:t>
      </w:r>
    </w:p>
    <w:p w14:paraId="547D761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第六条 </w:t>
      </w:r>
      <w:r>
        <w:rPr>
          <w:rFonts w:hint="eastAsia" w:ascii="仿宋_GB2312" w:hAnsi="仿宋_GB2312" w:eastAsia="仿宋_GB2312" w:cs="仿宋_GB2312"/>
          <w:color w:val="333333"/>
          <w:sz w:val="32"/>
          <w:szCs w:val="32"/>
          <w:shd w:val="clear" w:color="auto" w:fill="FFFFFF"/>
        </w:rPr>
        <w:t>本规则所称的承租方是指通过农交中心网站申请租赁农村闲置农房且最终成交的报名人。</w:t>
      </w:r>
    </w:p>
    <w:p w14:paraId="6C28829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第七条</w:t>
      </w:r>
      <w:r>
        <w:rPr>
          <w:rFonts w:hint="eastAsia" w:ascii="仿宋_GB2312" w:hAnsi="仿宋_GB2312" w:eastAsia="仿宋_GB2312" w:cs="仿宋_GB2312"/>
          <w:color w:val="333333"/>
          <w:sz w:val="32"/>
          <w:szCs w:val="32"/>
          <w:shd w:val="clear" w:color="auto" w:fill="FFFFFF"/>
        </w:rPr>
        <w:t xml:space="preserve"> 农村闲置农房出租应当遵循依法自愿、等价有偿、诚实信用的原则。</w:t>
      </w:r>
    </w:p>
    <w:p w14:paraId="6927793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第八条</w:t>
      </w:r>
      <w:r>
        <w:rPr>
          <w:rFonts w:hint="eastAsia" w:ascii="仿宋_GB2312" w:hAnsi="仿宋_GB2312" w:eastAsia="仿宋_GB2312" w:cs="仿宋_GB2312"/>
          <w:color w:val="333333"/>
          <w:sz w:val="32"/>
          <w:szCs w:val="32"/>
          <w:shd w:val="clear" w:color="auto" w:fill="FFFFFF"/>
        </w:rPr>
        <w:t xml:space="preserve"> 农村闲置农房出租不得改变土地集体所有性质，不得改变土地用途。不得违法违规买卖或变相买卖宅基地，严格禁止下乡利用农村宅基地建设别墅大院和私人会馆。</w:t>
      </w:r>
    </w:p>
    <w:p w14:paraId="2A62AF4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第九条</w:t>
      </w:r>
      <w:r>
        <w:rPr>
          <w:rFonts w:hint="eastAsia" w:ascii="仿宋_GB2312" w:hAnsi="仿宋_GB2312" w:eastAsia="仿宋_GB2312" w:cs="仿宋_GB2312"/>
          <w:color w:val="333333"/>
          <w:sz w:val="32"/>
          <w:szCs w:val="32"/>
          <w:shd w:val="clear" w:color="auto" w:fill="FFFFFF"/>
        </w:rPr>
        <w:t xml:space="preserve"> 农村闲置农房出租可以采取下列方式进行：</w:t>
      </w:r>
    </w:p>
    <w:p w14:paraId="26EA8D9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（一）网络竞价；</w:t>
      </w:r>
    </w:p>
    <w:p w14:paraId="0F466AB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（二）协议交易；</w:t>
      </w:r>
    </w:p>
    <w:p w14:paraId="1B78C34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方正仿宋_GB2312" w:hAnsi="方正仿宋_GB2312" w:eastAsia="方正仿宋_GB2312" w:cs="方正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（三）国家法律、法规规定的其他方式。</w:t>
      </w:r>
    </w:p>
    <w:p w14:paraId="02E92C2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jc w:val="center"/>
        <w:textAlignment w:val="auto"/>
        <w:outlineLvl w:val="1"/>
        <w:rPr>
          <w:rFonts w:ascii="黑体" w:hAnsi="黑体" w:eastAsia="黑体" w:cs="黑体"/>
          <w:bCs/>
          <w:color w:val="333333"/>
          <w:sz w:val="32"/>
          <w:szCs w:val="32"/>
        </w:rPr>
      </w:pPr>
      <w:bookmarkStart w:id="163" w:name="_Toc12562"/>
      <w:r>
        <w:rPr>
          <w:rStyle w:val="18"/>
          <w:rFonts w:hint="eastAsia" w:ascii="黑体" w:hAnsi="黑体" w:eastAsia="黑体" w:cs="黑体"/>
          <w:b w:val="0"/>
          <w:bCs/>
          <w:color w:val="333333"/>
          <w:sz w:val="32"/>
          <w:szCs w:val="32"/>
          <w:shd w:val="clear" w:color="auto" w:fill="FFFFFF"/>
        </w:rPr>
        <w:t>第二章 农村闲置农房出租条件</w:t>
      </w:r>
      <w:bookmarkEnd w:id="163"/>
    </w:p>
    <w:p w14:paraId="464EA89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本规则所称农村闲置农房出租指出租方将其合法拥有的农村闲置农房自行或委托村集体在农交中心公开挂牌出租的行为。</w:t>
      </w:r>
    </w:p>
    <w:p w14:paraId="52A6379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第十一条</w:t>
      </w:r>
      <w:r>
        <w:rPr>
          <w:rFonts w:hint="eastAsia" w:ascii="仿宋_GB2312" w:hAnsi="仿宋_GB2312" w:eastAsia="仿宋_GB2312" w:cs="仿宋_GB2312"/>
          <w:color w:val="333333"/>
          <w:sz w:val="32"/>
          <w:szCs w:val="32"/>
          <w:shd w:val="clear" w:color="auto" w:fill="FFFFFF"/>
        </w:rPr>
        <w:t xml:space="preserve"> 在农交中心进行农村闲置农房出租的当事人应是具有完全民事权利能力和民事行为能力的自然人、独立享有民事权利和承担民事义务的法人或其他组织。</w:t>
      </w:r>
    </w:p>
    <w:p w14:paraId="4DB090E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第十二条 </w:t>
      </w:r>
      <w:r>
        <w:rPr>
          <w:rFonts w:hint="eastAsia" w:ascii="仿宋_GB2312" w:hAnsi="仿宋_GB2312" w:eastAsia="仿宋_GB2312" w:cs="仿宋_GB2312"/>
          <w:color w:val="333333"/>
          <w:sz w:val="32"/>
          <w:szCs w:val="32"/>
          <w:shd w:val="clear" w:color="auto" w:fill="FFFFFF"/>
        </w:rPr>
        <w:t>有下列情况之一的，农村闲置农房不得挂牌出租：</w:t>
      </w:r>
    </w:p>
    <w:p w14:paraId="09B4967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（一）未依法进行权属登记或权属有争议的；</w:t>
      </w:r>
    </w:p>
    <w:p w14:paraId="6FFDEA5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（二）司法机关或行政机关依法裁定、决定查封或者以其他形式限制农房使用权的；</w:t>
      </w:r>
    </w:p>
    <w:p w14:paraId="7B13D68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（三）农房所属宅基地使用权属有争议的或未依法登记领取权属证书的；</w:t>
      </w:r>
    </w:p>
    <w:p w14:paraId="431A11D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（四）共有闲置农房，未经其他共有人书面同意的；</w:t>
      </w:r>
    </w:p>
    <w:p w14:paraId="5A2A8D3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（五）未经闲置农房所在村集体经济组织同意出租的；</w:t>
      </w:r>
    </w:p>
    <w:p w14:paraId="2D784E5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（六）农房建设不符合规划的；</w:t>
      </w:r>
    </w:p>
    <w:p w14:paraId="7B627E3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（七）法律、法规规定的其他情形。</w:t>
      </w:r>
    </w:p>
    <w:p w14:paraId="0C91655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jc w:val="center"/>
        <w:textAlignment w:val="auto"/>
        <w:outlineLvl w:val="1"/>
        <w:rPr>
          <w:rStyle w:val="18"/>
          <w:rFonts w:ascii="黑体" w:hAnsi="黑体" w:eastAsia="黑体" w:cs="黑体"/>
          <w:b w:val="0"/>
          <w:bCs/>
          <w:color w:val="333333"/>
          <w:sz w:val="32"/>
          <w:szCs w:val="32"/>
          <w:shd w:val="clear" w:color="auto" w:fill="FFFFFF"/>
        </w:rPr>
      </w:pPr>
      <w:bookmarkStart w:id="164" w:name="_Toc21611"/>
      <w:r>
        <w:rPr>
          <w:rStyle w:val="18"/>
          <w:rFonts w:hint="eastAsia" w:ascii="黑体" w:hAnsi="黑体" w:eastAsia="黑体" w:cs="黑体"/>
          <w:b w:val="0"/>
          <w:bCs/>
          <w:color w:val="333333"/>
          <w:sz w:val="32"/>
          <w:szCs w:val="32"/>
          <w:shd w:val="clear" w:color="auto" w:fill="FFFFFF"/>
        </w:rPr>
        <w:t>第三章 农村闲置农房出租程序</w:t>
      </w:r>
      <w:bookmarkEnd w:id="164"/>
    </w:p>
    <w:p w14:paraId="40EA8903">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农村闲置农房出租包括农房所有权人自行流转和委托村集体规模流转两种方式，规模流转的具体标准由村集体自行决定。</w:t>
      </w:r>
    </w:p>
    <w:p w14:paraId="009704F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第十四条</w:t>
      </w:r>
      <w:r>
        <w:rPr>
          <w:rFonts w:hint="eastAsia" w:ascii="仿宋_GB2312" w:hAnsi="仿宋_GB2312" w:eastAsia="仿宋_GB2312" w:cs="仿宋_GB2312"/>
          <w:color w:val="333333"/>
          <w:sz w:val="32"/>
          <w:szCs w:val="32"/>
          <w:shd w:val="clear" w:color="auto" w:fill="FFFFFF"/>
        </w:rPr>
        <w:t xml:space="preserve"> 出租方向农交中心提出出租申请，并提交以下资料：</w:t>
      </w:r>
    </w:p>
    <w:p w14:paraId="3CA65F8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（一）农村闲置农房出租申请书；</w:t>
      </w:r>
    </w:p>
    <w:p w14:paraId="55AAC7A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（二）有效身份证明，出租方为自然人的，须提供户内家庭成员身份证或户口本；出租方为村集体的，须提供组织机构代码证、法定代表人（负责人）身份证、身份证明及其他资格证明文件；</w:t>
      </w:r>
    </w:p>
    <w:p w14:paraId="13BA5DA3">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（三）《房屋所有权证》、宅基地使用权或其他权属证明材料；</w:t>
      </w:r>
    </w:p>
    <w:p w14:paraId="6FA6F56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（四）出租方委托村集体规模出租的，同时应提供农村闲置农房出租委托合同（委托出租的户内成员均需要签字）、村集体民主决策材料；</w:t>
      </w:r>
    </w:p>
    <w:p w14:paraId="732068C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（五）农交中心要求提交的其他材料。</w:t>
      </w:r>
    </w:p>
    <w:p w14:paraId="3D613CF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以上材料均需提交原件，提交复印件的，出租方或出租方负责人需签字确认；出租方为村集体的，还需加盖公章。</w:t>
      </w:r>
    </w:p>
    <w:p w14:paraId="566BB38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第十五条</w:t>
      </w:r>
      <w:r>
        <w:rPr>
          <w:rFonts w:hint="eastAsia" w:ascii="仿宋_GB2312" w:hAnsi="仿宋_GB2312" w:eastAsia="仿宋_GB2312" w:cs="仿宋_GB2312"/>
          <w:color w:val="333333"/>
          <w:sz w:val="32"/>
          <w:szCs w:val="32"/>
          <w:shd w:val="clear" w:color="auto" w:fill="FFFFFF"/>
        </w:rPr>
        <w:t xml:space="preserve"> 出租方将相关材料提交出让方将相关材料提交乡镇（街道）农村产权交易中心服务站，</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农村产权交易中心审核（备案）。</w:t>
      </w:r>
    </w:p>
    <w:p w14:paraId="7CD2406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第十六条</w:t>
      </w:r>
      <w:r>
        <w:rPr>
          <w:rFonts w:hint="eastAsia" w:ascii="仿宋_GB2312" w:hAnsi="仿宋_GB2312" w:eastAsia="仿宋_GB2312" w:cs="仿宋_GB2312"/>
          <w:color w:val="333333"/>
          <w:sz w:val="32"/>
          <w:szCs w:val="32"/>
          <w:shd w:val="clear" w:color="auto" w:fill="FFFFFF"/>
        </w:rPr>
        <w:t xml:space="preserve"> 农交中心依据出租方提交的资料制作挂牌信息，在农交中心网站进行信息发布。挂牌时间不得少于5个工作日。</w:t>
      </w:r>
    </w:p>
    <w:p w14:paraId="28FE199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第十七条</w:t>
      </w:r>
      <w:r>
        <w:rPr>
          <w:rFonts w:hint="eastAsia" w:ascii="仿宋_GB2312" w:hAnsi="仿宋_GB2312" w:eastAsia="仿宋_GB2312" w:cs="仿宋_GB2312"/>
          <w:color w:val="333333"/>
          <w:sz w:val="32"/>
          <w:szCs w:val="32"/>
          <w:shd w:val="clear" w:color="auto" w:fill="FFFFFF"/>
        </w:rPr>
        <w:t xml:space="preserve"> 意向承租方应在出租信息发布期间可以直接向农交中心报名并提交以下书面材料：</w:t>
      </w:r>
    </w:p>
    <w:p w14:paraId="3727C1A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（一）有效身份证明，意向承租方为自然人的，须提交身份证或者户口本；意向承租方为法人或其他组织的，须提供营业执照、法定代表人（负责人）身份证明及其他资格证明文件；</w:t>
      </w:r>
    </w:p>
    <w:p w14:paraId="0B3C94F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（二）需要交纳保证金的，需提交保证金交纳凭证；</w:t>
      </w:r>
    </w:p>
    <w:p w14:paraId="2E2C4A4F">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（三）农交中心要求提交的其他材料。</w:t>
      </w:r>
    </w:p>
    <w:p w14:paraId="742B8C7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以上材料均需提交原件，提交复印件的，承租方或承租方负责人需签字确认；承租方为法人单位的，还需加盖公章。</w:t>
      </w:r>
    </w:p>
    <w:p w14:paraId="45B8B44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第十八条</w:t>
      </w:r>
      <w:r>
        <w:rPr>
          <w:rFonts w:hint="eastAsia" w:ascii="仿宋_GB2312" w:hAnsi="仿宋_GB2312" w:eastAsia="仿宋_GB2312" w:cs="仿宋_GB2312"/>
          <w:color w:val="333333"/>
          <w:sz w:val="32"/>
          <w:szCs w:val="32"/>
          <w:shd w:val="clear" w:color="auto" w:fill="FFFFFF"/>
        </w:rPr>
        <w:t xml:space="preserve"> 意向承租方可以在信息公告规定的时间内到相应地点进行实地考察，了解标的物详细情况。意向承租方一旦参与交易，即表示其已对标的物完全了解，视同认可公告信息上列明的标的物与实际标的物相符。</w:t>
      </w:r>
    </w:p>
    <w:p w14:paraId="59E8FC2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第十九条</w:t>
      </w:r>
      <w:r>
        <w:rPr>
          <w:rFonts w:hint="eastAsia" w:ascii="仿宋_GB2312" w:hAnsi="仿宋_GB2312" w:eastAsia="仿宋_GB2312" w:cs="仿宋_GB2312"/>
          <w:color w:val="333333"/>
          <w:sz w:val="32"/>
          <w:szCs w:val="32"/>
          <w:shd w:val="clear" w:color="auto" w:fill="FFFFFF"/>
        </w:rPr>
        <w:t xml:space="preserve"> 农村闲置农房出租信息公告期满后，农交中心依据征集到的意向承租信息确定交易方式。产生两个及以上符合条件的意向承租方的，农交中心按照公告的竞价方式组织或指导实施公开竞价。只产生一个符合条件的意向承租方的，农交中心组织交易双方按挂牌价与意向承租方报价孰高原则直接签约；意向承租方未报价的，农交中心组织交易双方按挂牌价直接签约。涉及第三人依法在同等条件下享有优先购买权的情形，按照有关法律规定及农交中心相关规则执行。</w:t>
      </w:r>
    </w:p>
    <w:p w14:paraId="5A1E67B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第二十条</w:t>
      </w:r>
      <w:r>
        <w:rPr>
          <w:rFonts w:hint="eastAsia" w:ascii="仿宋_GB2312" w:hAnsi="仿宋_GB2312" w:eastAsia="仿宋_GB2312" w:cs="仿宋_GB2312"/>
          <w:color w:val="333333"/>
          <w:sz w:val="32"/>
          <w:szCs w:val="32"/>
          <w:shd w:val="clear" w:color="auto" w:fill="FFFFFF"/>
        </w:rPr>
        <w:t xml:space="preserve"> 竞价结束后，农交中心确定承租方后发布成交公示，公示期为3个工作日。在公示期内如有异议的，可向出租方提出异议或向监督部门投诉，涉及中止或终结交易的，按照《</w:t>
      </w:r>
      <w:r>
        <w:rPr>
          <w:rFonts w:hint="eastAsia" w:ascii="仿宋_GB2312" w:hAnsi="仿宋_GB2312" w:eastAsia="仿宋_GB2312" w:cs="仿宋_GB2312"/>
          <w:color w:val="E54C5E" w:themeColor="accent6"/>
          <w:sz w:val="32"/>
          <w:szCs w:val="32"/>
          <w:shd w:val="clear" w:color="auto" w:fill="FFFFFF"/>
          <w14:textFill>
            <w14:solidFill>
              <w14:schemeClr w14:val="accent6"/>
            </w14:solidFill>
          </w14:textFill>
        </w:rPr>
        <w:t>石</w:t>
      </w:r>
      <w:r>
        <w:rPr>
          <w:rFonts w:hint="eastAsia" w:ascii="___WRD_EMBED_SUB_45" w:hAnsi="___WRD_EMBED_SUB_45" w:eastAsia="___WRD_EMBED_SUB_45" w:cs="___WRD_EMBED_SUB_45"/>
          <w:color w:val="E54C5E" w:themeColor="accent6"/>
          <w:sz w:val="32"/>
          <w:szCs w:val="32"/>
          <w:shd w:val="clear" w:color="auto" w:fill="FFFFFF"/>
          <w14:textFill>
            <w14:solidFill>
              <w14:schemeClr w14:val="accent6"/>
            </w14:solidFill>
          </w14:textFill>
        </w:rPr>
        <w:t>门县</w:t>
      </w:r>
      <w:r>
        <w:rPr>
          <w:rFonts w:hint="eastAsia" w:ascii="仿宋_GB2312" w:hAnsi="仿宋_GB2312" w:eastAsia="仿宋_GB2312" w:cs="仿宋_GB2312"/>
          <w:color w:val="E54C5E" w:themeColor="accent6"/>
          <w:sz w:val="32"/>
          <w:szCs w:val="32"/>
          <w:shd w:val="clear" w:color="auto" w:fill="FFFFFF"/>
          <w14:textFill>
            <w14:solidFill>
              <w14:schemeClr w14:val="accent6"/>
            </w14:solidFill>
          </w14:textFill>
        </w:rPr>
        <w:t>农村产权交易中心交易项目中止和终结操作细则（试行）</w:t>
      </w:r>
      <w:r>
        <w:rPr>
          <w:rFonts w:hint="eastAsia" w:ascii="仿宋_GB2312" w:hAnsi="仿宋_GB2312" w:eastAsia="仿宋_GB2312" w:cs="仿宋_GB2312"/>
          <w:color w:val="333333"/>
          <w:sz w:val="32"/>
          <w:szCs w:val="32"/>
          <w:shd w:val="clear" w:color="auto" w:fill="FFFFFF"/>
        </w:rPr>
        <w:t>》执行。经公示后无异议的，在次日起3个工作日内组织交易双方签订农村闲置农房租赁合同。</w:t>
      </w:r>
    </w:p>
    <w:p w14:paraId="5B7EBC5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农村闲置农房租赁合同应当包括以下主要内容：</w:t>
      </w:r>
    </w:p>
    <w:p w14:paraId="280D1B8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（一）出租标的；</w:t>
      </w:r>
    </w:p>
    <w:p w14:paraId="19E6829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（二）交易双方的姓名（名称）、住所；</w:t>
      </w:r>
    </w:p>
    <w:p w14:paraId="3B2C54D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（三）出租农房的现状；</w:t>
      </w:r>
    </w:p>
    <w:p w14:paraId="2EC067BF">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（四）出租期限和起止期限；</w:t>
      </w:r>
    </w:p>
    <w:p w14:paraId="2658CC7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（五）交易价款及支付方式、期限，房屋交付方式、期限；</w:t>
      </w:r>
    </w:p>
    <w:p w14:paraId="37A91FB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（六）交易双方的权利和义务；</w:t>
      </w:r>
    </w:p>
    <w:p w14:paraId="6E33711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（七）交易双方的违约责任、合同争议的解决方式、合同变更和解除的条件；</w:t>
      </w:r>
    </w:p>
    <w:p w14:paraId="4685B07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（八）签约日期；</w:t>
      </w:r>
    </w:p>
    <w:p w14:paraId="11CF482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（九）交易双方认为需要约定的其他事项。</w:t>
      </w:r>
    </w:p>
    <w:p w14:paraId="580FDD3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第二十一条</w:t>
      </w:r>
      <w:r>
        <w:rPr>
          <w:rFonts w:hint="eastAsia" w:ascii="仿宋_GB2312" w:hAnsi="仿宋_GB2312" w:eastAsia="仿宋_GB2312" w:cs="仿宋_GB2312"/>
          <w:color w:val="333333"/>
          <w:sz w:val="32"/>
          <w:szCs w:val="32"/>
          <w:shd w:val="clear" w:color="auto" w:fill="FFFFFF"/>
        </w:rPr>
        <w:t xml:space="preserve"> 合同签订后，交易双方可以约定合同价款通过农交中心进行结算。农交中心向承租方出具《产权交易结算通知书》。承租方将合同价款支付到农交中心指定的结算账户。</w:t>
      </w:r>
    </w:p>
    <w:p w14:paraId="73A6EAD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合同约定价款支付方式为一次性付款的，在农交中心进行全额合同价款结算；合同约定价款支付方式为分期付款的，在农交中心进行首付款结算。</w:t>
      </w:r>
    </w:p>
    <w:p w14:paraId="658BFBB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交易双方约定合同价款不进场结算的，需向农交中心提交不进场结算书面申请。</w:t>
      </w:r>
    </w:p>
    <w:p w14:paraId="4645865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第二十二条</w:t>
      </w:r>
      <w:r>
        <w:rPr>
          <w:rFonts w:hint="eastAsia" w:ascii="仿宋_GB2312" w:hAnsi="仿宋_GB2312" w:eastAsia="仿宋_GB2312" w:cs="仿宋_GB2312"/>
          <w:color w:val="333333"/>
          <w:sz w:val="32"/>
          <w:szCs w:val="32"/>
          <w:shd w:val="clear" w:color="auto" w:fill="FFFFFF"/>
        </w:rPr>
        <w:t xml:space="preserve"> 承租方将合同价款交付至农交中心结算账户后，对符合交易价款划出条件的，农交中心向出租方划出交易价款。</w:t>
      </w:r>
    </w:p>
    <w:p w14:paraId="7440453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第二十三条</w:t>
      </w:r>
      <w:r>
        <w:rPr>
          <w:rFonts w:hint="eastAsia" w:ascii="仿宋_GB2312" w:hAnsi="仿宋_GB2312" w:eastAsia="仿宋_GB2312" w:cs="仿宋_GB2312"/>
          <w:color w:val="333333"/>
          <w:sz w:val="32"/>
          <w:szCs w:val="32"/>
          <w:shd w:val="clear" w:color="auto" w:fill="FFFFFF"/>
        </w:rPr>
        <w:t xml:space="preserve"> 交易双方应当按照农交中心的收费标准支付交易服务费等费用，农交中心在收到服务费用后，出具收费凭证。</w:t>
      </w:r>
    </w:p>
    <w:p w14:paraId="60AB7DD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第二十四条</w:t>
      </w:r>
      <w:r>
        <w:rPr>
          <w:rFonts w:hint="eastAsia" w:ascii="仿宋_GB2312" w:hAnsi="仿宋_GB2312" w:eastAsia="仿宋_GB2312" w:cs="仿宋_GB2312"/>
          <w:color w:val="333333"/>
          <w:sz w:val="32"/>
          <w:szCs w:val="32"/>
          <w:shd w:val="clear" w:color="auto" w:fill="FFFFFF"/>
        </w:rPr>
        <w:t xml:space="preserve"> 交易双方支付交易服务费用后，农交中心在</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个工作日内出具产权交易鉴证。</w:t>
      </w:r>
    </w:p>
    <w:p w14:paraId="2E07392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第二十五条</w:t>
      </w:r>
      <w:r>
        <w:rPr>
          <w:rFonts w:hint="eastAsia" w:ascii="仿宋_GB2312" w:hAnsi="仿宋_GB2312" w:eastAsia="仿宋_GB2312" w:cs="仿宋_GB2312"/>
          <w:color w:val="333333"/>
          <w:sz w:val="32"/>
          <w:szCs w:val="32"/>
          <w:shd w:val="clear" w:color="auto" w:fill="FFFFFF"/>
        </w:rPr>
        <w:t xml:space="preserve"> 交易双方凭农村产权交易鉴证办理标的交割等手续。</w:t>
      </w:r>
    </w:p>
    <w:p w14:paraId="6628992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第二十六条</w:t>
      </w:r>
      <w:r>
        <w:rPr>
          <w:rFonts w:hint="eastAsia" w:ascii="仿宋_GB2312" w:hAnsi="仿宋_GB2312" w:eastAsia="仿宋_GB2312" w:cs="仿宋_GB2312"/>
          <w:color w:val="333333"/>
          <w:sz w:val="32"/>
          <w:szCs w:val="32"/>
          <w:shd w:val="clear" w:color="auto" w:fill="FFFFFF"/>
        </w:rPr>
        <w:t xml:space="preserve"> 交易程序中的进场出租受理登记、信息发布与反馈、报名、竞价、保证金缴纳与处置和合同款项结算、合同签订、出具交易鉴证、中止和终结交易、争议处理等环节，本规则未规定的执行农交中心发布的《石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农村产权交易中心农村产权流转交易规则（试行）》及相关的交易规则等。</w:t>
      </w:r>
    </w:p>
    <w:p w14:paraId="3E8792E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jc w:val="center"/>
        <w:textAlignment w:val="auto"/>
        <w:outlineLvl w:val="1"/>
        <w:rPr>
          <w:rFonts w:ascii="黑体" w:hAnsi="黑体" w:eastAsia="黑体" w:cs="黑体"/>
          <w:bCs/>
          <w:color w:val="333333"/>
          <w:sz w:val="32"/>
          <w:szCs w:val="32"/>
        </w:rPr>
      </w:pPr>
      <w:bookmarkStart w:id="165" w:name="_Toc3217"/>
      <w:r>
        <w:rPr>
          <w:rStyle w:val="18"/>
          <w:rFonts w:hint="eastAsia" w:ascii="黑体" w:hAnsi="黑体" w:eastAsia="黑体" w:cs="黑体"/>
          <w:b w:val="0"/>
          <w:bCs/>
          <w:color w:val="333333"/>
          <w:sz w:val="32"/>
          <w:szCs w:val="32"/>
          <w:shd w:val="clear" w:color="auto" w:fill="FFFFFF"/>
        </w:rPr>
        <w:t>第四章 附 则</w:t>
      </w:r>
      <w:bookmarkEnd w:id="165"/>
    </w:p>
    <w:p w14:paraId="721AA04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xml:space="preserve"> 本规则的解释权和修订权归石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2C55074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textAlignment w:val="auto"/>
        <w:sectPr>
          <w:pgSz w:w="11906" w:h="16838"/>
          <w:pgMar w:top="2098" w:right="1474" w:bottom="1984" w:left="1587" w:header="851" w:footer="992" w:gutter="0"/>
          <w:pgNumType w:fmt="numberInDash"/>
          <w:cols w:space="425" w:num="1"/>
          <w:docGrid w:type="lines" w:linePitch="312" w:charSpace="0"/>
        </w:sectPr>
      </w:pPr>
      <w:r>
        <w:rPr>
          <w:rStyle w:val="18"/>
          <w:rFonts w:hint="eastAsia" w:ascii="仿宋_GB2312" w:hAnsi="仿宋_GB2312" w:eastAsia="仿宋_GB2312" w:cs="仿宋_GB2312"/>
          <w:color w:val="333333"/>
          <w:sz w:val="32"/>
          <w:szCs w:val="32"/>
          <w:shd w:val="clear" w:color="auto" w:fill="FFFFFF"/>
        </w:rPr>
        <w:t xml:space="preserve">     第二十八条</w:t>
      </w:r>
      <w:r>
        <w:rPr>
          <w:rFonts w:hint="eastAsia" w:ascii="仿宋_GB2312" w:hAnsi="仿宋_GB2312" w:eastAsia="仿宋_GB2312" w:cs="仿宋_GB2312"/>
          <w:color w:val="333333"/>
          <w:sz w:val="32"/>
          <w:szCs w:val="32"/>
          <w:shd w:val="clear" w:color="auto" w:fill="FFFFFF"/>
        </w:rPr>
        <w:t xml:space="preserve"> 本规则自印发之日起执行。</w:t>
      </w:r>
    </w:p>
    <w:p w14:paraId="29015FAB">
      <w:pPr>
        <w:spacing w:line="560" w:lineRule="exact"/>
        <w:jc w:val="both"/>
        <w:rPr>
          <w:rFonts w:ascii="Times New Roman" w:hAnsi="Times New Roman" w:eastAsia="仿宋_GB2312" w:cs="Times New Roman"/>
          <w:b/>
          <w:bCs/>
          <w:sz w:val="32"/>
          <w:szCs w:val="32"/>
        </w:rPr>
      </w:pPr>
      <w:bookmarkStart w:id="166" w:name="_Toc26440"/>
      <w:bookmarkStart w:id="167" w:name="_Toc24914"/>
      <w:bookmarkStart w:id="168" w:name="_Toc14407"/>
      <w:bookmarkStart w:id="169" w:name="_Toc13516"/>
      <w:bookmarkStart w:id="170" w:name="_Toc16223"/>
      <w:bookmarkStart w:id="171" w:name="_Toc8441"/>
      <w:bookmarkStart w:id="172" w:name="_Toc459"/>
      <w:bookmarkStart w:id="173" w:name="_Toc10997"/>
      <w:bookmarkStart w:id="174" w:name="_Toc13182"/>
      <w:bookmarkStart w:id="175" w:name="_Toc20654"/>
      <w:bookmarkStart w:id="176" w:name="_Toc14760"/>
      <w:bookmarkStart w:id="177" w:name="_Toc28931"/>
      <w:bookmarkStart w:id="178" w:name="_Toc17087"/>
      <w:bookmarkStart w:id="179" w:name="_Toc15609"/>
      <w:bookmarkStart w:id="180" w:name="_Toc11992"/>
      <w:bookmarkStart w:id="181" w:name="_Toc12345"/>
      <w:bookmarkStart w:id="182" w:name="_Toc9849"/>
    </w:p>
    <w:p w14:paraId="34BFECA0">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1FE79BDC">
      <w:pPr>
        <w:pStyle w:val="13"/>
        <w:shd w:val="clear" w:color="auto" w:fill="FFFFFF"/>
        <w:spacing w:beforeAutospacing="0" w:afterAutospacing="0" w:line="560" w:lineRule="exact"/>
        <w:jc w:val="center"/>
        <w:outlineLvl w:val="0"/>
        <w:rPr>
          <w:rStyle w:val="18"/>
          <w:rFonts w:ascii="黑体" w:hAnsi="黑体" w:eastAsia="黑体" w:cs="黑体"/>
          <w:b w:val="0"/>
          <w:bCs/>
          <w:color w:val="333333"/>
          <w:sz w:val="32"/>
          <w:szCs w:val="32"/>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农村闲置农房转让交易规则（试行）</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13531034">
      <w:pPr>
        <w:pStyle w:val="13"/>
        <w:shd w:val="clear" w:color="auto" w:fill="FFFFFF"/>
        <w:spacing w:beforeAutospacing="0" w:afterAutospacing="0" w:line="560" w:lineRule="exact"/>
        <w:ind w:firstLine="640" w:firstLineChars="200"/>
        <w:jc w:val="center"/>
        <w:outlineLvl w:val="1"/>
        <w:rPr>
          <w:rFonts w:ascii="黑体" w:hAnsi="黑体" w:eastAsia="黑体" w:cs="黑体"/>
          <w:bCs/>
          <w:color w:val="333333"/>
          <w:sz w:val="32"/>
          <w:szCs w:val="32"/>
        </w:rPr>
      </w:pPr>
      <w:bookmarkStart w:id="183" w:name="_Toc742"/>
      <w:r>
        <w:rPr>
          <w:rStyle w:val="18"/>
          <w:rFonts w:hint="eastAsia" w:ascii="黑体" w:hAnsi="黑体" w:eastAsia="黑体" w:cs="黑体"/>
          <w:b w:val="0"/>
          <w:bCs/>
          <w:color w:val="333333"/>
          <w:sz w:val="32"/>
          <w:szCs w:val="32"/>
          <w:shd w:val="clear" w:color="auto" w:fill="FFFFFF"/>
        </w:rPr>
        <w:t>第一章 总则</w:t>
      </w:r>
      <w:bookmarkEnd w:id="183"/>
    </w:p>
    <w:p w14:paraId="74A1671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 xml:space="preserve">第一条 </w:t>
      </w:r>
      <w:r>
        <w:rPr>
          <w:rFonts w:hint="eastAsia" w:ascii="仿宋_GB2312" w:hAnsi="仿宋_GB2312" w:eastAsia="仿宋_GB2312" w:cs="仿宋_GB2312"/>
          <w:color w:val="333333"/>
          <w:sz w:val="32"/>
          <w:szCs w:val="32"/>
          <w:shd w:val="clear" w:color="auto" w:fill="FFFFFF"/>
        </w:rPr>
        <w:t>为规范在石门县农村产权交易中心（以下简称“农交中心”）进行的闲置农房转让行为，维护农村房屋转让安全，保护农村房屋使用权人的合法权益，依据《中华人民共和国民法典》《中华人民共和国土地管理法》《中华人民共和国土地管理法实施条例》等法律、法规并依据《石门县农村产权流转交易管理办法（试行）》《石门县农村产权交易中心农村产权交易规则（试行）》，制定本规则。</w:t>
      </w:r>
    </w:p>
    <w:p w14:paraId="6EFCD32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第二条</w:t>
      </w:r>
      <w:r>
        <w:rPr>
          <w:rFonts w:hint="eastAsia" w:ascii="仿宋_GB2312" w:hAnsi="仿宋_GB2312" w:eastAsia="仿宋_GB2312" w:cs="仿宋_GB2312"/>
          <w:color w:val="333333"/>
          <w:sz w:val="32"/>
          <w:szCs w:val="32"/>
          <w:shd w:val="clear" w:color="auto" w:fill="FFFFFF"/>
        </w:rPr>
        <w:t xml:space="preserve"> 在农交中心进行的闲置农房转让活动，适用本规则。法律、法规和规章另有规定的，从其规定。</w:t>
      </w:r>
    </w:p>
    <w:p w14:paraId="743CFA98">
      <w:pPr>
        <w:pStyle w:val="13"/>
        <w:shd w:val="clear" w:color="auto" w:fill="FFFFFF"/>
        <w:spacing w:beforeAutospacing="0" w:afterAutospacing="0" w:line="560" w:lineRule="exact"/>
        <w:jc w:val="both"/>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第三条</w:t>
      </w:r>
      <w:r>
        <w:rPr>
          <w:rFonts w:hint="eastAsia" w:ascii="仿宋_GB2312" w:hAnsi="仿宋_GB2312" w:eastAsia="仿宋_GB2312" w:cs="仿宋_GB2312"/>
          <w:color w:val="333333"/>
          <w:sz w:val="32"/>
          <w:szCs w:val="32"/>
          <w:shd w:val="clear" w:color="auto" w:fill="FFFFFF"/>
        </w:rPr>
        <w:t xml:space="preserve"> 本规则所称的农村闲置农房是指农户在宅基地上建造的产权清晰、符合规划、处于闲置状态且能够安全使用的房屋。</w:t>
      </w:r>
    </w:p>
    <w:p w14:paraId="6266966C">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第四条</w:t>
      </w:r>
      <w:r>
        <w:rPr>
          <w:rFonts w:hint="eastAsia" w:ascii="仿宋_GB2312" w:hAnsi="仿宋_GB2312" w:eastAsia="仿宋_GB2312" w:cs="仿宋_GB2312"/>
          <w:color w:val="333333"/>
          <w:sz w:val="32"/>
          <w:szCs w:val="32"/>
          <w:shd w:val="clear" w:color="auto" w:fill="FFFFFF"/>
        </w:rPr>
        <w:t xml:space="preserve"> 本规则所称的农村闲置农房转让是指宅基地使用权人将所享有的宅基地使用权及地上闲置农房转让给他人的行为。</w:t>
      </w:r>
    </w:p>
    <w:p w14:paraId="14A59B28">
      <w:pPr>
        <w:pStyle w:val="13"/>
        <w:shd w:val="clear" w:color="auto" w:fill="FFFFFF"/>
        <w:spacing w:beforeAutospacing="0" w:afterAutospacing="0" w:line="560" w:lineRule="exact"/>
        <w:jc w:val="both"/>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第五条</w:t>
      </w:r>
      <w:r>
        <w:rPr>
          <w:rFonts w:hint="eastAsia" w:ascii="仿宋_GB2312" w:hAnsi="仿宋_GB2312" w:eastAsia="仿宋_GB2312" w:cs="仿宋_GB2312"/>
          <w:color w:val="333333"/>
          <w:sz w:val="32"/>
          <w:szCs w:val="32"/>
          <w:shd w:val="clear" w:color="auto" w:fill="FFFFFF"/>
        </w:rPr>
        <w:t xml:space="preserve"> 本规则所称的出让方是指依法享有本集体经济组织项下的宅基地使用权和农村住房所有权的集体经济组织成员或村集体。受让方是指依法通过转让取得农村住房及其宅基地使用权的集体经济组织成员或村集体。</w:t>
      </w:r>
    </w:p>
    <w:p w14:paraId="303E12E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第六条</w:t>
      </w:r>
      <w:r>
        <w:rPr>
          <w:rFonts w:hint="eastAsia" w:ascii="仿宋_GB2312" w:hAnsi="仿宋_GB2312" w:eastAsia="仿宋_GB2312" w:cs="仿宋_GB2312"/>
          <w:color w:val="333333"/>
          <w:sz w:val="32"/>
          <w:szCs w:val="32"/>
          <w:shd w:val="clear" w:color="auto" w:fill="FFFFFF"/>
        </w:rPr>
        <w:t xml:space="preserve"> 农村闲置农房转让可以采取下列方式进行：</w:t>
      </w:r>
    </w:p>
    <w:p w14:paraId="58687C7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（一）网络竞价；</w:t>
      </w:r>
    </w:p>
    <w:p w14:paraId="3B7CAD5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（二）协议交易；</w:t>
      </w:r>
    </w:p>
    <w:p w14:paraId="3911B11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（三）国家法律、法规规定的其他方式。</w:t>
      </w:r>
    </w:p>
    <w:p w14:paraId="76C40084">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184" w:name="_Toc16036"/>
      <w:r>
        <w:rPr>
          <w:rStyle w:val="18"/>
          <w:rFonts w:hint="eastAsia" w:ascii="黑体" w:hAnsi="黑体" w:eastAsia="黑体" w:cs="黑体"/>
          <w:b w:val="0"/>
          <w:bCs/>
          <w:color w:val="333333"/>
          <w:sz w:val="32"/>
          <w:szCs w:val="32"/>
          <w:shd w:val="clear" w:color="auto" w:fill="FFFFFF"/>
        </w:rPr>
        <w:t>第二章 转让条件</w:t>
      </w:r>
      <w:bookmarkEnd w:id="184"/>
    </w:p>
    <w:p w14:paraId="5854D27F">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农村闲置农房转让应当遵循依法自愿、等价有偿、诚实信用的原则。</w:t>
      </w:r>
    </w:p>
    <w:p w14:paraId="491C266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第八条</w:t>
      </w:r>
      <w:r>
        <w:rPr>
          <w:rFonts w:hint="eastAsia" w:ascii="仿宋_GB2312" w:hAnsi="仿宋_GB2312" w:eastAsia="仿宋_GB2312" w:cs="仿宋_GB2312"/>
          <w:color w:val="333333"/>
          <w:sz w:val="32"/>
          <w:szCs w:val="32"/>
          <w:shd w:val="clear" w:color="auto" w:fill="FFFFFF"/>
        </w:rPr>
        <w:t xml:space="preserve"> 农村闲置农房转让不得改变土地集体所有性质，不得改变土地用途。不得违法违规买卖或变相买卖宅基地，严格禁止下乡利用农村宅基地建设别墅大院和私人会馆。</w:t>
      </w:r>
    </w:p>
    <w:p w14:paraId="57FB311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第九条</w:t>
      </w:r>
      <w:r>
        <w:rPr>
          <w:rFonts w:hint="eastAsia" w:ascii="仿宋_GB2312" w:hAnsi="仿宋_GB2312" w:eastAsia="仿宋_GB2312" w:cs="仿宋_GB2312"/>
          <w:color w:val="333333"/>
          <w:sz w:val="32"/>
          <w:szCs w:val="32"/>
          <w:shd w:val="clear" w:color="auto" w:fill="FFFFFF"/>
        </w:rPr>
        <w:t xml:space="preserve"> 农村闲置农房转让基本条件：</w:t>
      </w:r>
    </w:p>
    <w:p w14:paraId="5A960A41">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（一）转让人拥有二处以上的农村住房（含宅基地）;</w:t>
      </w:r>
    </w:p>
    <w:p w14:paraId="4914387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（二）只能同一集体经济组织内部转让；</w:t>
      </w:r>
    </w:p>
    <w:p w14:paraId="27C78A7F">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（三）意向受让方若为本集体经济组织内部成员，须没有住房和宅基地，并符合宅基地使用权申请条件；</w:t>
      </w:r>
    </w:p>
    <w:p w14:paraId="2D18EC6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（四）转让行为征得集体组织同意；</w:t>
      </w:r>
    </w:p>
    <w:p w14:paraId="3030E83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（五）宅基地使用权不得单独转让，地随房一并转让。</w:t>
      </w:r>
    </w:p>
    <w:p w14:paraId="5F49F29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第十条</w:t>
      </w:r>
      <w:r>
        <w:rPr>
          <w:rFonts w:hint="eastAsia" w:ascii="仿宋_GB2312" w:hAnsi="仿宋_GB2312" w:eastAsia="仿宋_GB2312" w:cs="仿宋_GB2312"/>
          <w:color w:val="333333"/>
          <w:sz w:val="32"/>
          <w:szCs w:val="32"/>
          <w:shd w:val="clear" w:color="auto" w:fill="FFFFFF"/>
        </w:rPr>
        <w:t xml:space="preserve">  有下列情况之一的，农村闲置农房不得挂牌转让：</w:t>
      </w:r>
    </w:p>
    <w:p w14:paraId="32ECEF9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（一）闲置农房未依法进行权属登记或权属有争议的；</w:t>
      </w:r>
    </w:p>
    <w:p w14:paraId="46B12291">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（二）司法机关或行政机关依法裁定、决定查封或者以其他形式限制农房使用权的；</w:t>
      </w:r>
    </w:p>
    <w:p w14:paraId="1487E7E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（三）农房所属宅基地使用权属有争议的或未依法登记领取权属证书的；</w:t>
      </w:r>
    </w:p>
    <w:p w14:paraId="3CD91B02">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（四）共有闲置农房，未经其他共有人书面同意的；</w:t>
      </w:r>
    </w:p>
    <w:p w14:paraId="6FEDE022">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（五）未经闲置农房所在村集体经济组织同意转让的；</w:t>
      </w:r>
    </w:p>
    <w:p w14:paraId="13BC725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（六）农房建设不符合规划的；</w:t>
      </w:r>
    </w:p>
    <w:p w14:paraId="3F7B1BFE">
      <w:pPr>
        <w:pStyle w:val="13"/>
        <w:shd w:val="clear" w:color="auto" w:fill="FFFFFF"/>
        <w:spacing w:beforeAutospacing="0" w:afterAutospacing="0" w:line="560" w:lineRule="exact"/>
        <w:rPr>
          <w:rFonts w:ascii="方正仿宋_GB2312" w:hAnsi="方正仿宋_GB2312" w:eastAsia="方正仿宋_GB2312" w:cs="方正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（七）法律、法规规定的其他情形。</w:t>
      </w:r>
    </w:p>
    <w:p w14:paraId="70EDB570">
      <w:pPr>
        <w:pStyle w:val="13"/>
        <w:shd w:val="clear" w:color="auto" w:fill="FFFFFF"/>
        <w:spacing w:beforeAutospacing="0" w:afterAutospacing="0" w:line="560" w:lineRule="exact"/>
        <w:jc w:val="center"/>
        <w:outlineLvl w:val="1"/>
        <w:rPr>
          <w:rFonts w:ascii="黑体" w:hAnsi="黑体" w:eastAsia="黑体" w:cs="黑体"/>
          <w:color w:val="333333"/>
          <w:sz w:val="32"/>
          <w:szCs w:val="32"/>
        </w:rPr>
      </w:pPr>
      <w:bookmarkStart w:id="185" w:name="_Toc27142"/>
      <w:r>
        <w:rPr>
          <w:rStyle w:val="18"/>
          <w:rFonts w:hint="eastAsia" w:ascii="黑体" w:hAnsi="黑体" w:eastAsia="黑体" w:cs="黑体"/>
          <w:b w:val="0"/>
          <w:bCs/>
          <w:color w:val="333333"/>
          <w:sz w:val="32"/>
          <w:szCs w:val="32"/>
          <w:shd w:val="clear" w:color="auto" w:fill="FFFFFF"/>
        </w:rPr>
        <w:t>第三章 转让程序</w:t>
      </w:r>
      <w:bookmarkEnd w:id="185"/>
    </w:p>
    <w:p w14:paraId="6A56858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 xml:space="preserve">第十一条 </w:t>
      </w:r>
      <w:r>
        <w:rPr>
          <w:rFonts w:hint="eastAsia" w:ascii="仿宋_GB2312" w:hAnsi="仿宋_GB2312" w:eastAsia="仿宋_GB2312" w:cs="仿宋_GB2312"/>
          <w:color w:val="333333"/>
          <w:sz w:val="32"/>
          <w:szCs w:val="32"/>
          <w:shd w:val="clear" w:color="auto" w:fill="FFFFFF"/>
        </w:rPr>
        <w:t>出让方向农交中心提出转让申请，并提交以下资料：</w:t>
      </w:r>
    </w:p>
    <w:p w14:paraId="144E091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（一）主体资格证明材料，出让方为自然人的，须提供身份证或户口本；出让方为法人或其他组织的，须提供营业执照、组织机构代码证、法定代表人身份证明及其他资格证明文件；</w:t>
      </w:r>
    </w:p>
    <w:p w14:paraId="10BF071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（二）闲置农房转让转出申请书；</w:t>
      </w:r>
    </w:p>
    <w:p w14:paraId="0B804B30">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（三）闲置农房的相关图片资料；</w:t>
      </w:r>
    </w:p>
    <w:p w14:paraId="53D122A3">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（四）《房屋所有权证》、宅基地使用权或其他权属证明材料；</w:t>
      </w:r>
    </w:p>
    <w:p w14:paraId="192ABBE2">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（五）村级组织同意转让的证明材料；</w:t>
      </w:r>
    </w:p>
    <w:p w14:paraId="1776797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（六）农户有其他长期稳定居住场所的相关证明；</w:t>
      </w:r>
    </w:p>
    <w:p w14:paraId="371E6BB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（七）委托他人办理的，需提交授权委托书及受托方主体资格证明，负责人的身份证明；</w:t>
      </w:r>
    </w:p>
    <w:p w14:paraId="2517797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（八）需经评估的，应提交评估报告；</w:t>
      </w:r>
    </w:p>
    <w:p w14:paraId="109B9B3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（九）法律、法规及农交中心规定的其他材料。</w:t>
      </w:r>
    </w:p>
    <w:p w14:paraId="3C9EE77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以上材料均需提交原件，提交复印件的需提交方加盖公章或签字，出让方应对提交材料的真实性、完整性、合法性和有效性负责。</w:t>
      </w:r>
    </w:p>
    <w:p w14:paraId="3722D9E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第十二条</w:t>
      </w:r>
      <w:r>
        <w:rPr>
          <w:rFonts w:hint="eastAsia" w:ascii="仿宋_GB2312" w:hAnsi="仿宋_GB2312" w:eastAsia="仿宋_GB2312" w:cs="仿宋_GB2312"/>
          <w:color w:val="333333"/>
          <w:sz w:val="32"/>
          <w:szCs w:val="32"/>
          <w:shd w:val="clear" w:color="auto" w:fill="FFFFFF"/>
        </w:rPr>
        <w:t xml:space="preserve">  出让方将相关材料提交乡镇（街道）农村产权交易中心服务站，</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农村产权交易中心审核（备案），农交中心依据出让方提交的资料制作挂牌信息，在农交中心网站进行信息发布，挂牌时间不得少于5个工作日。</w:t>
      </w:r>
    </w:p>
    <w:p w14:paraId="4F0E880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第十三条</w:t>
      </w:r>
      <w:r>
        <w:rPr>
          <w:rFonts w:hint="eastAsia" w:ascii="仿宋_GB2312" w:hAnsi="仿宋_GB2312" w:eastAsia="仿宋_GB2312" w:cs="仿宋_GB2312"/>
          <w:color w:val="333333"/>
          <w:sz w:val="32"/>
          <w:szCs w:val="32"/>
          <w:shd w:val="clear" w:color="auto" w:fill="FFFFFF"/>
        </w:rPr>
        <w:t xml:space="preserve"> 意向受让方在交易项目信息发布期间可以直接或者通过经纪人/机构向农交中心提出书面申请，并提交以下材料：</w:t>
      </w:r>
    </w:p>
    <w:p w14:paraId="7B8539D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（一）主体资格证明材料（与出让方为同一集体经济组织内部成员的证明材料）；</w:t>
      </w:r>
    </w:p>
    <w:p w14:paraId="41093AB5">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（二）受让申请书，主要包括意向受让方的基本情况、受让项目名称、相关承诺等内容；</w:t>
      </w:r>
    </w:p>
    <w:p w14:paraId="1A1E1BC8">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（三）符合宅基地申请条件的证明材料（农村宅基地和建房规划许可申请表、农村宅基地使用承诺书，村级组织对村民申请条件审核意见等）</w:t>
      </w:r>
    </w:p>
    <w:p w14:paraId="101C7BF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（四）农交中心要求提交的其他材料。</w:t>
      </w:r>
    </w:p>
    <w:p w14:paraId="2FCC379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以上材料均需提交原件，提交复印件的需提交方加盖公章或签字，意向受让方应对提交材料的真实性、完整性、合法性和有效性负责。</w:t>
      </w:r>
    </w:p>
    <w:p w14:paraId="487DE15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第十四条</w:t>
      </w:r>
      <w:r>
        <w:rPr>
          <w:rFonts w:hint="eastAsia" w:ascii="仿宋_GB2312" w:hAnsi="仿宋_GB2312" w:eastAsia="仿宋_GB2312" w:cs="仿宋_GB2312"/>
          <w:color w:val="333333"/>
          <w:sz w:val="32"/>
          <w:szCs w:val="32"/>
          <w:shd w:val="clear" w:color="auto" w:fill="FFFFFF"/>
        </w:rPr>
        <w:t xml:space="preserve"> 符合下列情形之一的村民，可以以户为单位向村民委员会或村集体经济组织（以下简称村级组织）申请一处宅基地：</w:t>
      </w:r>
    </w:p>
    <w:p w14:paraId="203BA57F">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（一）无宅基地的；</w:t>
      </w:r>
    </w:p>
    <w:p w14:paraId="2B48C48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（二）符合分户条件，原有宅基地不能解决建房需求的；</w:t>
      </w:r>
    </w:p>
    <w:p w14:paraId="21A7CB7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（三）原有宅基地面积尚未达到限额标准的70%，改建、扩建需增加宅基地面积的；</w:t>
      </w:r>
    </w:p>
    <w:p w14:paraId="3D34F044">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（四）实施村镇规划建设或项目建设占用原宅基地，根据征收方案，明确可以另行选址建设的；</w:t>
      </w:r>
    </w:p>
    <w:p w14:paraId="32F2335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（五）发生或防御自然灾害需迁建的；</w:t>
      </w:r>
    </w:p>
    <w:p w14:paraId="10A8C49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（六）村民住宅纳入文物保护需迁建的；</w:t>
      </w:r>
    </w:p>
    <w:p w14:paraId="358A6D82">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（七）夫妻一方为村级组织成员且双方均无宅基地的；</w:t>
      </w:r>
    </w:p>
    <w:p w14:paraId="1A97E4D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 xml:space="preserve">    （八）其他符合相关法律、法规规定的。</w:t>
      </w:r>
    </w:p>
    <w:p w14:paraId="503343C1">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第十五条</w:t>
      </w:r>
      <w:r>
        <w:rPr>
          <w:rFonts w:hint="eastAsia" w:ascii="仿宋_GB2312" w:hAnsi="仿宋_GB2312" w:eastAsia="仿宋_GB2312" w:cs="仿宋_GB2312"/>
          <w:color w:val="333333"/>
          <w:sz w:val="32"/>
          <w:szCs w:val="32"/>
          <w:shd w:val="clear" w:color="auto" w:fill="FFFFFF"/>
        </w:rPr>
        <w:t xml:space="preserve"> 意向受让方应自行对转让标的进行全面审慎的调查了解。</w:t>
      </w:r>
    </w:p>
    <w:p w14:paraId="7B7AA0FD">
      <w:pPr>
        <w:pStyle w:val="13"/>
        <w:shd w:val="clear" w:color="auto" w:fill="FFFFFF"/>
        <w:spacing w:beforeAutospacing="0" w:afterAutospacing="0" w:line="560" w:lineRule="exact"/>
        <w:rPr>
          <w:rFonts w:ascii="黑体" w:hAnsi="黑体" w:eastAsia="黑体" w:cs="黑体"/>
          <w:bCs/>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第十六条</w:t>
      </w:r>
      <w:r>
        <w:rPr>
          <w:rFonts w:hint="eastAsia" w:ascii="仿宋_GB2312" w:hAnsi="仿宋_GB2312" w:eastAsia="仿宋_GB2312" w:cs="仿宋_GB2312"/>
          <w:color w:val="333333"/>
          <w:sz w:val="32"/>
          <w:szCs w:val="32"/>
          <w:shd w:val="clear" w:color="auto" w:fill="FFFFFF"/>
        </w:rPr>
        <w:t xml:space="preserve"> 交易程序中的进场交易、受理登记、信息发布与反馈、交易方式、交易保证金、交易款项结算、合同签订、出具产权交易鉴证、中止和终结、争议处理等环节执行农交中心发布的《石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农村产权交易中心农村产权交易规则（试行）》和对应的交易规则。</w:t>
      </w:r>
      <w:bookmarkStart w:id="186" w:name="_Toc641"/>
      <w:r>
        <w:rPr>
          <w:rFonts w:hint="eastAsia" w:ascii="仿宋_GB2312" w:hAnsi="仿宋_GB2312" w:eastAsia="仿宋_GB2312" w:cs="仿宋_GB2312"/>
          <w:color w:val="333333"/>
          <w:sz w:val="32"/>
          <w:szCs w:val="32"/>
          <w:shd w:val="clear" w:color="auto" w:fill="FFFFFF"/>
          <w:lang w:val="en-US" w:eastAsia="zh-CN"/>
        </w:rPr>
        <w:t xml:space="preserve">       </w:t>
      </w:r>
      <w:r>
        <w:rPr>
          <w:rStyle w:val="18"/>
          <w:rFonts w:hint="eastAsia" w:ascii="黑体" w:hAnsi="黑体" w:eastAsia="黑体" w:cs="黑体"/>
          <w:b w:val="0"/>
          <w:bCs/>
          <w:color w:val="333333"/>
          <w:sz w:val="32"/>
          <w:szCs w:val="32"/>
          <w:shd w:val="clear" w:color="auto" w:fill="FFFFFF"/>
        </w:rPr>
        <w:t>第四章 附则</w:t>
      </w:r>
      <w:bookmarkEnd w:id="186"/>
    </w:p>
    <w:p w14:paraId="2A7F0731">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本规则的解释权和修订权归</w:t>
      </w:r>
      <w:r>
        <w:rPr>
          <w:rFonts w:hint="eastAsia" w:ascii="___WRD_EMBED_SUB_45" w:hAnsi="___WRD_EMBED_SUB_45" w:eastAsia="___WRD_EMBED_SUB_45" w:cs="___WRD_EMBED_SUB_45"/>
          <w:color w:val="333333"/>
          <w:sz w:val="32"/>
          <w:szCs w:val="32"/>
          <w:shd w:val="clear" w:color="auto" w:fill="FFFFFF"/>
        </w:rPr>
        <w:t>石门县</w:t>
      </w:r>
      <w:r>
        <w:rPr>
          <w:rFonts w:hint="eastAsia" w:ascii="仿宋_GB2312" w:hAnsi="仿宋_GB2312" w:eastAsia="仿宋_GB2312" w:cs="仿宋_GB2312"/>
          <w:color w:val="333333"/>
          <w:sz w:val="32"/>
          <w:szCs w:val="32"/>
          <w:shd w:val="clear" w:color="auto" w:fill="FFFFFF"/>
        </w:rPr>
        <w:t>农村产权交易中心。</w:t>
      </w:r>
    </w:p>
    <w:p w14:paraId="4DF3C4E8">
      <w:pPr>
        <w:pStyle w:val="13"/>
        <w:shd w:val="clear" w:color="auto" w:fill="FFFFFF"/>
        <w:spacing w:beforeAutospacing="0" w:afterAutospacing="0" w:line="560" w:lineRule="exact"/>
        <w:rPr>
          <w:rFonts w:ascii="仿宋_GB2312" w:hAnsi="仿宋_GB2312" w:eastAsia="仿宋_GB2312" w:cs="仿宋_GB2312"/>
        </w:rPr>
        <w:sectPr>
          <w:pgSz w:w="11906" w:h="16838"/>
          <w:pgMar w:top="2098" w:right="1474" w:bottom="1984" w:left="1587" w:header="851" w:footer="992" w:gutter="0"/>
          <w:pgNumType w:fmt="numberInDash"/>
          <w:cols w:space="425" w:num="1"/>
          <w:titlePg/>
          <w:docGrid w:type="lines" w:linePitch="312" w:charSpace="0"/>
        </w:sectPr>
      </w:pPr>
      <w:r>
        <w:rPr>
          <w:rStyle w:val="18"/>
          <w:rFonts w:hint="eastAsia" w:ascii="仿宋_GB2312" w:hAnsi="仿宋_GB2312" w:eastAsia="仿宋_GB2312" w:cs="仿宋_GB2312"/>
          <w:color w:val="333333"/>
          <w:sz w:val="32"/>
          <w:szCs w:val="32"/>
          <w:shd w:val="clear" w:color="auto" w:fill="FFFFFF"/>
        </w:rPr>
        <w:t xml:space="preserve">     第十八条</w:t>
      </w:r>
      <w:r>
        <w:rPr>
          <w:rFonts w:hint="eastAsia" w:ascii="仿宋_GB2312" w:hAnsi="仿宋_GB2312" w:eastAsia="仿宋_GB2312" w:cs="仿宋_GB2312"/>
          <w:color w:val="333333"/>
          <w:sz w:val="32"/>
          <w:szCs w:val="32"/>
          <w:shd w:val="clear" w:color="auto" w:fill="FFFFFF"/>
        </w:rPr>
        <w:t xml:space="preserve"> 本规则自印发之日起施行。</w:t>
      </w:r>
    </w:p>
    <w:p w14:paraId="35876C81">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187" w:name="_Toc18980"/>
      <w:bookmarkStart w:id="188" w:name="_Toc30495"/>
      <w:bookmarkStart w:id="189" w:name="_Toc27373"/>
      <w:bookmarkStart w:id="190" w:name="_Toc12295"/>
      <w:bookmarkStart w:id="191" w:name="_Toc18385"/>
      <w:bookmarkStart w:id="192" w:name="_Toc7916"/>
      <w:bookmarkStart w:id="193" w:name="_Toc13633"/>
      <w:bookmarkStart w:id="194" w:name="_Toc28732"/>
      <w:bookmarkStart w:id="195" w:name="_Toc16418"/>
      <w:bookmarkStart w:id="196" w:name="_Toc23359"/>
      <w:bookmarkStart w:id="197" w:name="_Toc30294"/>
      <w:bookmarkStart w:id="198" w:name="_Toc1505"/>
      <w:bookmarkStart w:id="199" w:name="_Toc5041"/>
      <w:bookmarkStart w:id="200" w:name="_Toc23117"/>
      <w:bookmarkStart w:id="201" w:name="_Toc24161"/>
      <w:bookmarkStart w:id="202" w:name="_Toc18624"/>
      <w:bookmarkStart w:id="203" w:name="_Toc15095"/>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4E9A7CA7">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受理转出申请操作细则（试行）</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DDE1FA7">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p>
    <w:p w14:paraId="17AD007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农村产权交易中心（以下简称“农交中心”）进行的农村产权转出信息发布的申请和受理行为，根据《石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农村产权交易中心农村产权流转交易规则（试行）》的相关规定，制定本规则。</w:t>
      </w:r>
    </w:p>
    <w:p w14:paraId="62F6A67F">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在农交中心进行的农村产权的受理转让申请活动，适用本规则。法律、法规和规章另有规定的，从其规定。</w:t>
      </w:r>
    </w:p>
    <w:p w14:paraId="2B5E3FD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第三条 </w:t>
      </w:r>
      <w:r>
        <w:rPr>
          <w:rFonts w:hint="eastAsia" w:ascii="仿宋_GB2312" w:hAnsi="仿宋_GB2312" w:eastAsia="仿宋_GB2312" w:cs="仿宋_GB2312"/>
          <w:color w:val="333333"/>
          <w:sz w:val="32"/>
          <w:szCs w:val="32"/>
          <w:shd w:val="clear" w:color="auto" w:fill="FFFFFF"/>
        </w:rPr>
        <w:t>出让方可直接与农交中心签订委托代理合同，建立委托关系。</w:t>
      </w:r>
    </w:p>
    <w:p w14:paraId="59C4C013">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出让方向</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农交中心提出转出信息发布申请，递交《农村产权转出申请书》等相关附件材料，委托农交中心公开发布转出信息。</w:t>
      </w:r>
    </w:p>
    <w:p w14:paraId="6C097AF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《农村产权转出申请书》应当明确出让方及其受托方与农交中心之间的权利义务关系和相应违规违约责任等内容。</w:t>
      </w:r>
    </w:p>
    <w:p w14:paraId="42BFE67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出让方应当对《农村产权转出申请书》的填报内容和所提交附件材料的真实性、完整性、合法性、有效性负责。</w:t>
      </w:r>
    </w:p>
    <w:p w14:paraId="56F96A0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出让方委托受托方代理交易的，受托方应当对其代理的产权转出信息发布事项进行调查，并对出让方所提交材料的真实性、完整性、合法性、有效性进行核实，包括但不限于：</w:t>
      </w:r>
    </w:p>
    <w:p w14:paraId="39655F9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（一）所披露的信息内容是否真实、完整，是否存在重大遗漏、虚假记载或误导性陈述。</w:t>
      </w:r>
    </w:p>
    <w:p w14:paraId="0111F86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（二）信息发布的内容与相关附件材料是否一致。</w:t>
      </w:r>
    </w:p>
    <w:p w14:paraId="2973769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（三）信息发布的附件材料是否合法有效，是否存在规范性问题，是否符合各类产权转出的有关规定。</w:t>
      </w:r>
    </w:p>
    <w:p w14:paraId="4D9A2DC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出让方提交的《农村产权转出申请书》及附件材料符合齐全性和合规性要求的，农交中心予以接收登记，并发布产权转出公告；不符合齐全性和合规性要求的，农交中心可以要求出让方及其受托机构补齐或重新提交。</w:t>
      </w:r>
    </w:p>
    <w:p w14:paraId="2EDB920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出让方应当按照经过内部决策和批准的产权出让方案，在产权转让公告中披露标的基本情况、交易条件、受让方资格条件、对产权交易有重大影响的相关信息、竞价方式的选择、交易保证金的设置和处置等内容。</w:t>
      </w:r>
    </w:p>
    <w:p w14:paraId="387E37C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转出公告应当对标的基本情况进行披露，包括但不限于：</w:t>
      </w:r>
    </w:p>
    <w:p w14:paraId="5D2F160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（一）出让方、标的、受托经纪人、机构的名称。</w:t>
      </w:r>
    </w:p>
    <w:p w14:paraId="726CD59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（二）标的持有人的基本情况。</w:t>
      </w:r>
    </w:p>
    <w:p w14:paraId="544C0EC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（三）标的的基本情况。</w:t>
      </w:r>
    </w:p>
    <w:p w14:paraId="04DEBB7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（四）转出行为的相关内部决策及批准情况。</w:t>
      </w:r>
    </w:p>
    <w:p w14:paraId="6FC9697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出让方应当在产权转出公告中明确为达成交易需要受让方接受的主要交易条件，包括但不限于：</w:t>
      </w:r>
    </w:p>
    <w:p w14:paraId="1CDEDEE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（一）标的公告价格、交易保证金、合同价款支付方式和付款期限要求。</w:t>
      </w:r>
    </w:p>
    <w:p w14:paraId="2D1A2F7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（二）依据交易品种不同，出让方设置的其他要求。</w:t>
      </w:r>
    </w:p>
    <w:p w14:paraId="609ACEA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（三）出让方为达成交易设置的其他承诺。</w:t>
      </w:r>
    </w:p>
    <w:p w14:paraId="2DF5C26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出让方可以根据标的实际情况，合理设置受让方资格条件。在受让方资格条件中不得出现具有明确指向性或者违反公平竞争的内容。农交中心认为必要时，可以要求出让方对受让方资格条件的判断标准提供经批准的书面解释或具体说明，经农交中心审核后，在产权转出公告中一同公布。</w:t>
      </w:r>
    </w:p>
    <w:p w14:paraId="482F503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出让方应当在产权转出公告中充分披露对标的产生重大影响的相关信息，包括但不限于：</w:t>
      </w:r>
    </w:p>
    <w:p w14:paraId="5A26332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（一）需出具审计报告、评估报告等第三方书面报告的项目，有无保留意见或重要提示。</w:t>
      </w:r>
    </w:p>
    <w:p w14:paraId="0685A78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（二）行使优先权的主体或其关联方拟参与受让的，应当披露其基本情况和涉及标的信息。</w:t>
      </w:r>
    </w:p>
    <w:p w14:paraId="5078B4A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（三）具有优先权的主体是否放弃优先权。</w:t>
      </w:r>
    </w:p>
    <w:p w14:paraId="41B6E62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（四）标的是否存在他项权利人。</w:t>
      </w:r>
    </w:p>
    <w:p w14:paraId="20A903B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出让方应该在产权转出公告中明确，只征集到一个符合条件的意向受让方时，是否采取协议转出的交易方式；征集到两个及以上符合条件的意向受让方时，采取何种竞价交易方式确定受让方。选择招投标方式的，应当同时披露评标方法和标准。</w:t>
      </w:r>
    </w:p>
    <w:p w14:paraId="0F008C9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出让方应当在产权转出公告中明确交纳交易保证金的要求、交纳金额及处置方法等相关事项。</w:t>
      </w:r>
    </w:p>
    <w:p w14:paraId="231EB2D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本规则的解释权和修订权归石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6BC05D43">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3" w:firstLineChars="200"/>
        <w:textAlignment w:val="auto"/>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本规则自印发之日起施行。</w:t>
      </w:r>
    </w:p>
    <w:p w14:paraId="4DC6CE2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640" w:firstLineChars="200"/>
        <w:textAlignment w:val="auto"/>
        <w:rPr>
          <w:rFonts w:ascii="仿宋_GB2312" w:hAnsi="仿宋_GB2312" w:eastAsia="仿宋_GB2312" w:cs="仿宋_GB2312"/>
          <w:color w:val="333333"/>
          <w:sz w:val="32"/>
          <w:szCs w:val="32"/>
          <w:shd w:val="clear" w:color="auto" w:fill="FFFFFF"/>
        </w:rPr>
        <w:sectPr>
          <w:pgSz w:w="11906" w:h="16838"/>
          <w:pgMar w:top="2098" w:right="1474" w:bottom="1984" w:left="1587" w:header="851" w:footer="992" w:gutter="0"/>
          <w:pgNumType w:fmt="numberInDash"/>
          <w:cols w:space="425" w:num="1"/>
          <w:docGrid w:type="lines" w:linePitch="312" w:charSpace="0"/>
        </w:sectPr>
      </w:pPr>
    </w:p>
    <w:p w14:paraId="10B4D09C">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204" w:name="_Toc1977"/>
      <w:bookmarkStart w:id="205" w:name="_Toc2678"/>
      <w:bookmarkStart w:id="206" w:name="_Toc22978"/>
      <w:bookmarkStart w:id="207" w:name="_Toc24196"/>
      <w:bookmarkStart w:id="208" w:name="_Toc25697"/>
      <w:bookmarkStart w:id="209" w:name="_Toc30658"/>
      <w:bookmarkStart w:id="210" w:name="_Toc8188"/>
      <w:bookmarkStart w:id="211" w:name="_Toc9394"/>
      <w:bookmarkStart w:id="212" w:name="_Toc26533"/>
      <w:bookmarkStart w:id="213" w:name="_Toc10802"/>
      <w:bookmarkStart w:id="214" w:name="_Toc14916"/>
      <w:bookmarkStart w:id="215" w:name="_Toc29236"/>
      <w:bookmarkStart w:id="216" w:name="_Toc17305"/>
      <w:bookmarkStart w:id="217" w:name="_Toc32052"/>
      <w:bookmarkStart w:id="218" w:name="_Toc10853"/>
      <w:bookmarkStart w:id="219" w:name="_Toc24623"/>
      <w:bookmarkStart w:id="220" w:name="_Toc32571"/>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1F1FE6CC">
      <w:pPr>
        <w:pStyle w:val="13"/>
        <w:shd w:val="clear" w:color="auto" w:fill="FFFFFF"/>
        <w:spacing w:beforeAutospacing="0" w:afterAutospacing="0" w:line="560" w:lineRule="exact"/>
        <w:jc w:val="center"/>
        <w:outlineLvl w:val="0"/>
        <w:rPr>
          <w:rStyle w:val="18"/>
          <w:rFonts w:ascii="黑体" w:hAnsi="黑体" w:eastAsia="黑体" w:cs="黑体"/>
          <w:b w:val="0"/>
          <w:bCs/>
          <w:color w:val="333333"/>
          <w:sz w:val="32"/>
          <w:szCs w:val="32"/>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发布流转信息操作细则（试行）</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25E5D89B">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21" w:name="_Toc2796"/>
      <w:r>
        <w:rPr>
          <w:rStyle w:val="18"/>
          <w:rFonts w:hint="eastAsia" w:ascii="黑体" w:hAnsi="黑体" w:eastAsia="黑体" w:cs="黑体"/>
          <w:b w:val="0"/>
          <w:bCs/>
          <w:color w:val="333333"/>
          <w:sz w:val="32"/>
          <w:szCs w:val="32"/>
          <w:shd w:val="clear" w:color="auto" w:fill="FFFFFF"/>
        </w:rPr>
        <w:t>第一章 总  则</w:t>
      </w:r>
      <w:bookmarkEnd w:id="221"/>
    </w:p>
    <w:p w14:paraId="7DB38A7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农村产权交易中心（以下简称“农交中心”）进行的农村产权转出信息发布行为，根据《石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农村产权交易中心农村产权流转交易规则（试行）》的相关规定，制定本规则。</w:t>
      </w:r>
    </w:p>
    <w:p w14:paraId="6BD5225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在农交中心进行公开发布农村产权转出信息，适用本规则。如法律、法规和规章另有规定的，从其规定。</w:t>
      </w:r>
    </w:p>
    <w:p w14:paraId="6A928B1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本规则所称转出信息发布，又称挂牌，是指农交中心依据出让方或其委托的经纪人、机构递交的材料，按照《石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农村产权交易中心农村产权流转交易规则（试行）》有关规定，将已受理的农村产权转出项目信息在农交中心网站、电子显示屏及经监管部门备案的指定媒体进行公开披露，征集意向受让方的行为。</w:t>
      </w:r>
    </w:p>
    <w:p w14:paraId="12EFC3F6">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22" w:name="_Toc14859"/>
      <w:r>
        <w:rPr>
          <w:rStyle w:val="18"/>
          <w:rFonts w:hint="eastAsia" w:ascii="黑体" w:hAnsi="黑体" w:eastAsia="黑体" w:cs="黑体"/>
          <w:b w:val="0"/>
          <w:bCs/>
          <w:color w:val="333333"/>
          <w:sz w:val="32"/>
          <w:szCs w:val="32"/>
          <w:shd w:val="clear" w:color="auto" w:fill="FFFFFF"/>
        </w:rPr>
        <w:t>第二章 转出信息公告</w:t>
      </w:r>
      <w:bookmarkEnd w:id="222"/>
    </w:p>
    <w:p w14:paraId="133D617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转出信息发布一般包括下列内容：</w:t>
      </w:r>
    </w:p>
    <w:p w14:paraId="34D1462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（一）出让方和转出标的的基本情况。</w:t>
      </w:r>
    </w:p>
    <w:p w14:paraId="5B7C64C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（二）转出价格、付款方式和期限要求。</w:t>
      </w:r>
    </w:p>
    <w:p w14:paraId="4E32619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（三）转出行为必要的民主决策等情况。</w:t>
      </w:r>
    </w:p>
    <w:p w14:paraId="7DD67BA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（四）转出标的地上附着物的处置要求。</w:t>
      </w:r>
    </w:p>
    <w:p w14:paraId="285380E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（五）转出标的用途要求。</w:t>
      </w:r>
    </w:p>
    <w:p w14:paraId="2685DF4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（六）需要受让方接受的其他要求。</w:t>
      </w:r>
    </w:p>
    <w:p w14:paraId="78D3CF8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（七）其他需披露的事项。</w:t>
      </w:r>
    </w:p>
    <w:p w14:paraId="70CD705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第五条 </w:t>
      </w:r>
      <w:r>
        <w:rPr>
          <w:rFonts w:hint="eastAsia" w:ascii="仿宋_GB2312" w:hAnsi="仿宋_GB2312" w:eastAsia="仿宋_GB2312" w:cs="仿宋_GB2312"/>
          <w:color w:val="333333"/>
          <w:sz w:val="32"/>
          <w:szCs w:val="32"/>
          <w:shd w:val="clear" w:color="auto" w:fill="FFFFFF"/>
        </w:rPr>
        <w:t>出让方可以对受让方提出资质、商业信誉、经营情况、财务状况、管理能力、资产规模等方面的必要条件，并对受让条件执行的标准和规定做出书面解释说明。</w:t>
      </w:r>
    </w:p>
    <w:p w14:paraId="145BB50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出让方所提出的受让资格条件应符合国家有关法律、法规的规定，不得具有明确指向性或侵犯受让方合法权益、违反公平竞争的内容。</w:t>
      </w:r>
    </w:p>
    <w:p w14:paraId="1D3C143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出让方在产权转出公告中公布的受让条件，一经发布不得擅自变更。在农交中心尚未收到正式意向受让申请之前，确需变更受让条件的，应当经产权转出相关批准机构批准，由农交中心在原信息发布渠道上重新挂牌，并重新计算挂牌期。</w:t>
      </w:r>
    </w:p>
    <w:p w14:paraId="24E0AA4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出让方可以要求意向受让方在提交受让申请时交纳交易保证金。</w:t>
      </w:r>
    </w:p>
    <w:p w14:paraId="59F0F18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出让方确定的首次挂牌价格，应不低于经核准或备案的资产评估结果或集体内部程序确定的价格。</w:t>
      </w:r>
    </w:p>
    <w:p w14:paraId="0B6FC249">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23" w:name="_Toc18890"/>
      <w:r>
        <w:rPr>
          <w:rStyle w:val="18"/>
          <w:rFonts w:hint="eastAsia" w:ascii="黑体" w:hAnsi="黑体" w:eastAsia="黑体" w:cs="黑体"/>
          <w:b w:val="0"/>
          <w:bCs/>
          <w:color w:val="333333"/>
          <w:sz w:val="32"/>
          <w:szCs w:val="32"/>
          <w:shd w:val="clear" w:color="auto" w:fill="FFFFFF"/>
        </w:rPr>
        <w:t>第三章 挂牌公示时间</w:t>
      </w:r>
      <w:bookmarkEnd w:id="223"/>
    </w:p>
    <w:p w14:paraId="597D1AF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产权转出项目的挂牌期由出让方确定，但不得少于5个工作日。</w:t>
      </w:r>
    </w:p>
    <w:p w14:paraId="2F81967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第十一条 </w:t>
      </w:r>
      <w:r>
        <w:rPr>
          <w:rFonts w:hint="eastAsia" w:ascii="仿宋_GB2312" w:hAnsi="仿宋_GB2312" w:eastAsia="仿宋_GB2312" w:cs="仿宋_GB2312"/>
          <w:color w:val="333333"/>
          <w:sz w:val="32"/>
          <w:szCs w:val="32"/>
          <w:shd w:val="clear" w:color="auto" w:fill="FFFFFF"/>
        </w:rPr>
        <w:t>出让方可事先规定在挂牌期征集到两个及以上符合条件的意向受让方时采取竞价出让方式；事先没有规定的，农交中心原则上在挂牌期满并完成受让资格审查后5个工作日内与出让方协商确定竞价出让方式。</w:t>
      </w:r>
    </w:p>
    <w:p w14:paraId="1976D17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农村产权转出项目挂牌前，出让方或其委托的经纪人、机构可以根据出让方的要求先行确定挂牌期满未征集到符合条件的意向受让方的，按原有挂牌条件延长挂牌，或变更挂牌条件，重新挂牌。延长挂牌或重新挂牌的期限不得少于5个工作日。</w:t>
      </w:r>
    </w:p>
    <w:p w14:paraId="7E4E817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挂牌期满未征集到符合条件的意向受让方，出让方未选择延长挂牌或重新挂牌的，终止挂牌。</w:t>
      </w:r>
    </w:p>
    <w:p w14:paraId="24C9BE2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挂牌期间，出让方不得随意变动或无故提出取消所发布信息。</w:t>
      </w:r>
    </w:p>
    <w:p w14:paraId="6A8F89E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挂牌期间有下列行为之一并经核实，农交中心可以终止挂牌：</w:t>
      </w:r>
    </w:p>
    <w:p w14:paraId="1FA9FFD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（一）因不可抗力导致转出标的或出让方发生重大变化，影响出让方继续履行挂牌内容中相关义务的。</w:t>
      </w:r>
    </w:p>
    <w:p w14:paraId="57C8B94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（二）出让方提供虚假信息，挂牌公告内容严重失实的。</w:t>
      </w:r>
    </w:p>
    <w:p w14:paraId="4A79321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（三）出让方被发现故意隐瞒真相，处置权丧失或受限制的。</w:t>
      </w:r>
    </w:p>
    <w:p w14:paraId="2683468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（四）导致终止挂牌的其他情形。</w:t>
      </w:r>
    </w:p>
    <w:p w14:paraId="1536001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挂牌期间终止挂牌的项目，农交中心应在原信息发布渠道上取消所发布信息。</w:t>
      </w:r>
    </w:p>
    <w:p w14:paraId="53AE31A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已终止挂牌的项目，出让方拟再次转出该产权的，应向农交中心重新递交挂牌申请及相关资料。</w:t>
      </w:r>
    </w:p>
    <w:p w14:paraId="5CB4599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产权转出信息发布的全部文件材料由</w:t>
      </w:r>
      <w:r>
        <w:rPr>
          <w:rFonts w:hint="eastAsia" w:ascii="___WRD_EMBED_SUB_45" w:hAnsi="___WRD_EMBED_SUB_45" w:eastAsia="___WRD_EMBED_SUB_45" w:cs="___WRD_EMBED_SUB_45"/>
          <w:color w:val="333333"/>
          <w:sz w:val="32"/>
          <w:szCs w:val="32"/>
          <w:shd w:val="clear" w:color="auto" w:fill="FFFFFF"/>
        </w:rPr>
        <w:t>石门县</w:t>
      </w:r>
      <w:r>
        <w:rPr>
          <w:rFonts w:hint="eastAsia" w:ascii="仿宋_GB2312" w:hAnsi="仿宋_GB2312" w:eastAsia="仿宋_GB2312" w:cs="仿宋_GB2312"/>
          <w:color w:val="333333"/>
          <w:sz w:val="32"/>
          <w:szCs w:val="32"/>
          <w:shd w:val="clear" w:color="auto" w:fill="FFFFFF"/>
        </w:rPr>
        <w:t>农村产权交易中心存档。</w:t>
      </w:r>
    </w:p>
    <w:p w14:paraId="0DDEDCD7">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24" w:name="_Toc18472"/>
      <w:r>
        <w:rPr>
          <w:rStyle w:val="18"/>
          <w:rFonts w:hint="eastAsia" w:ascii="黑体" w:hAnsi="黑体" w:eastAsia="黑体" w:cs="黑体"/>
          <w:b w:val="0"/>
          <w:bCs/>
          <w:color w:val="333333"/>
          <w:sz w:val="32"/>
          <w:szCs w:val="32"/>
          <w:shd w:val="clear" w:color="auto" w:fill="FFFFFF"/>
        </w:rPr>
        <w:t>第四章 附 则</w:t>
      </w:r>
      <w:bookmarkEnd w:id="224"/>
    </w:p>
    <w:p w14:paraId="39CAE0C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转出信息发布的相关工作人员应当严格执行上述规则，尽职尽责、忠于职守。积极利用媒体资源进行公开的产品推介和招商宣传。交易中心要建立客户信息保密制度，不得泄露客户交易信息。</w:t>
      </w:r>
    </w:p>
    <w:p w14:paraId="371ED0E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第二十条 </w:t>
      </w:r>
      <w:r>
        <w:rPr>
          <w:rFonts w:hint="eastAsia" w:ascii="仿宋_GB2312" w:hAnsi="仿宋_GB2312" w:eastAsia="仿宋_GB2312" w:cs="仿宋_GB2312"/>
          <w:color w:val="333333"/>
          <w:sz w:val="32"/>
          <w:szCs w:val="32"/>
          <w:shd w:val="clear" w:color="auto" w:fill="FFFFFF"/>
        </w:rPr>
        <w:t>本规则的解释权和修订权归石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3440B26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本规则自印发之日起执行。</w:t>
      </w:r>
    </w:p>
    <w:p w14:paraId="31096274">
      <w:pPr>
        <w:spacing w:line="560" w:lineRule="exact"/>
        <w:rPr>
          <w:rFonts w:ascii="方正仿宋_GB2312" w:hAnsi="方正仿宋_GB2312" w:eastAsia="方正仿宋_GB2312" w:cs="方正仿宋_GB2312"/>
          <w:sz w:val="32"/>
          <w:szCs w:val="32"/>
        </w:rPr>
        <w:sectPr>
          <w:pgSz w:w="11906" w:h="16838"/>
          <w:pgMar w:top="2098" w:right="1474" w:bottom="1984" w:left="1587" w:header="851" w:footer="992" w:gutter="0"/>
          <w:pgNumType w:fmt="numberInDash"/>
          <w:cols w:space="425" w:num="1"/>
          <w:docGrid w:type="lines" w:linePitch="312" w:charSpace="0"/>
        </w:sectPr>
      </w:pPr>
    </w:p>
    <w:p w14:paraId="7F2C78CB">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225" w:name="_Toc2586"/>
      <w:bookmarkStart w:id="226" w:name="_Toc17796"/>
      <w:bookmarkStart w:id="227" w:name="_Toc21773"/>
      <w:bookmarkStart w:id="228" w:name="_Toc16175"/>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1EF17A57">
      <w:pPr>
        <w:pStyle w:val="13"/>
        <w:shd w:val="clear" w:color="auto" w:fill="FFFFFF"/>
        <w:spacing w:beforeAutospacing="0" w:afterAutospacing="0" w:line="560" w:lineRule="exact"/>
        <w:jc w:val="center"/>
        <w:outlineLvl w:val="0"/>
        <w:rPr>
          <w:rStyle w:val="18"/>
          <w:rFonts w:ascii="黑体" w:hAnsi="黑体" w:eastAsia="黑体" w:cs="黑体"/>
          <w:b w:val="0"/>
          <w:bCs/>
          <w:color w:val="333333"/>
          <w:sz w:val="32"/>
          <w:szCs w:val="32"/>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登记意向受让方操作细则（试行）</w:t>
      </w:r>
      <w:bookmarkEnd w:id="225"/>
      <w:bookmarkEnd w:id="226"/>
      <w:bookmarkEnd w:id="227"/>
    </w:p>
    <w:p w14:paraId="30EF2EC7">
      <w:pPr>
        <w:pStyle w:val="13"/>
        <w:shd w:val="clear" w:color="auto" w:fill="FFFFFF"/>
        <w:spacing w:beforeAutospacing="0" w:afterAutospacing="0" w:line="560" w:lineRule="exact"/>
        <w:ind w:firstLine="640" w:firstLineChars="200"/>
        <w:jc w:val="center"/>
        <w:outlineLvl w:val="1"/>
        <w:rPr>
          <w:rFonts w:ascii="黑体" w:hAnsi="黑体" w:eastAsia="黑体" w:cs="黑体"/>
          <w:bCs/>
          <w:color w:val="333333"/>
          <w:sz w:val="32"/>
          <w:szCs w:val="32"/>
        </w:rPr>
      </w:pPr>
      <w:r>
        <w:rPr>
          <w:rStyle w:val="18"/>
          <w:rFonts w:hint="eastAsia" w:ascii="黑体" w:hAnsi="黑体" w:eastAsia="黑体" w:cs="黑体"/>
          <w:b w:val="0"/>
          <w:bCs/>
          <w:color w:val="333333"/>
          <w:sz w:val="32"/>
          <w:szCs w:val="32"/>
          <w:shd w:val="clear" w:color="auto" w:fill="FFFFFF"/>
        </w:rPr>
        <w:t>第一章 总则</w:t>
      </w:r>
      <w:bookmarkEnd w:id="228"/>
    </w:p>
    <w:p w14:paraId="62E2539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为规范在石门</w:t>
      </w:r>
      <w:r>
        <w:rPr>
          <w:rFonts w:hint="eastAsia" w:ascii="___WRD_EMBED_SUB_45" w:hAnsi="___WRD_EMBED_SUB_45" w:eastAsia="___WRD_EMBED_SUB_45" w:cs="___WRD_EMBED_SUB_45"/>
          <w:color w:val="333333"/>
          <w:sz w:val="32"/>
          <w:szCs w:val="32"/>
          <w:shd w:val="clear" w:color="auto" w:fill="FFFFFF"/>
        </w:rPr>
        <w:t>县</w:t>
      </w:r>
      <w:r>
        <w:rPr>
          <w:rFonts w:hint="eastAsia" w:ascii="仿宋_GB2312" w:hAnsi="仿宋_GB2312" w:eastAsia="仿宋_GB2312" w:cs="仿宋_GB2312"/>
          <w:color w:val="333333"/>
          <w:sz w:val="32"/>
          <w:szCs w:val="32"/>
          <w:shd w:val="clear" w:color="auto" w:fill="FFFFFF"/>
        </w:rPr>
        <w:t>农村产权交易中心（以下简称“农交中心”）进行的农村产权意向受让方的登记和资格确认行为，根据《石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农村产权交易中心农村产权流转交易规则（试行）》的相关规定，制定本规则。</w:t>
      </w:r>
    </w:p>
    <w:p w14:paraId="1FADDD1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在农交中心登记农村产权受让意向活动，适用本规则。法律、法规和规章另有规定的，从其规定。</w:t>
      </w:r>
    </w:p>
    <w:p w14:paraId="6C0874C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意向受让方可以在农交中心网站上公告的经纪会员名单中自主选择经纪人、机构，并签订委托代理合同，建立委托关系。</w:t>
      </w:r>
    </w:p>
    <w:p w14:paraId="1B74EEE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农村产权转出信息发布期间，意向受让方可以到农交中心网站查阅标的的相关信息和材料。</w:t>
      </w:r>
    </w:p>
    <w:p w14:paraId="6FFEE505">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rPr>
      </w:pPr>
      <w:r>
        <w:rPr>
          <w:rFonts w:hint="eastAsia" w:ascii="仿宋_GB2312" w:hAnsi="仿宋_GB2312" w:eastAsia="仿宋_GB2312" w:cs="仿宋_GB2312"/>
          <w:b/>
          <w:bCs/>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如有受托经纪人、机构的，意向受让方应当委托经纪人、机构填写《农村产权意向受让申请书》，主要包括意向受让方的基本情况、受让标的、相关交易承诺、受托经纪人、机构核实意见等内容。</w:t>
      </w:r>
    </w:p>
    <w:p w14:paraId="20A4D260">
      <w:pPr>
        <w:pStyle w:val="13"/>
        <w:shd w:val="clear" w:color="auto" w:fill="FFFFFF"/>
        <w:spacing w:beforeAutospacing="0" w:afterAutospacing="0" w:line="560" w:lineRule="exact"/>
        <w:ind w:firstLine="640" w:firstLineChars="200"/>
        <w:jc w:val="center"/>
        <w:outlineLvl w:val="1"/>
        <w:rPr>
          <w:rStyle w:val="18"/>
          <w:rFonts w:ascii="黑体" w:hAnsi="黑体" w:eastAsia="黑体" w:cs="黑体"/>
          <w:b w:val="0"/>
          <w:bCs/>
          <w:color w:val="333333"/>
          <w:sz w:val="32"/>
          <w:szCs w:val="32"/>
          <w:shd w:val="clear" w:color="auto" w:fill="FFFFFF"/>
        </w:rPr>
      </w:pPr>
      <w:bookmarkStart w:id="229" w:name="_Toc4624"/>
      <w:r>
        <w:rPr>
          <w:rStyle w:val="18"/>
          <w:rFonts w:hint="eastAsia" w:ascii="黑体" w:hAnsi="黑体" w:eastAsia="黑体" w:cs="黑体"/>
          <w:b w:val="0"/>
          <w:bCs/>
          <w:color w:val="333333"/>
          <w:sz w:val="32"/>
          <w:szCs w:val="32"/>
          <w:shd w:val="clear" w:color="auto" w:fill="FFFFFF"/>
        </w:rPr>
        <w:t>第二章 受让登记信息</w:t>
      </w:r>
      <w:bookmarkEnd w:id="229"/>
    </w:p>
    <w:p w14:paraId="6E27738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意向受让方应当在信息公告发布期限内递交《农村产权意向受让申请书》（采取网络竞价方式的无需递交）及相关附件材料，主要包括意向受让方的基本情况、受让标的和相关交易承诺。同意产权转出公告载明的所有内容和交易条件，并承诺遵守农交中心交易规则。</w:t>
      </w:r>
    </w:p>
    <w:p w14:paraId="7A880D4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意向受让方对《农村产权意向受让申请书》填写内容及提交材料的真实性、完整性、合法性、有效性负责。</w:t>
      </w:r>
    </w:p>
    <w:p w14:paraId="507189B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意向受让方有委托经纪人、机构的，经纪人、机构应当对意向受让方提交材料的真实性、完整性、合法性、有效性进行核实，并出具核实意见。</w:t>
      </w:r>
    </w:p>
    <w:p w14:paraId="2EBC611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农交中心应当在收到受让申请材料后对产权受让申请进行登记，并对《农村产权意向受让申请书》及其附件材料的齐全性和合规性进行审核。对符合条件的意向受让方的登记情况及其资格确认意见告知出让方。</w:t>
      </w:r>
    </w:p>
    <w:p w14:paraId="0BE5404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农交中心应当按照产权转出公告中的受让方资格条件审核意向受让方受让资格，主要审核是否包含下列内容：</w:t>
      </w:r>
    </w:p>
    <w:p w14:paraId="74E032A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（一）意向受让方是否对其提供材料的真实性、完整性、合法性、有效性以及遵守交易规则作出承诺。</w:t>
      </w:r>
    </w:p>
    <w:p w14:paraId="5804B78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（二）是否委托经纪人、机构进行交易，经纪人、机构是否对材料进行核实，核实意见是否明确具体。</w:t>
      </w:r>
    </w:p>
    <w:p w14:paraId="4801244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（三）意向受让方的主体资格是否符合产权转出公告中的受让方资格条件及解释说明的相关要求，如限制为本村集体经济组织成员或者本村村民的，提供身份认证承诺书。</w:t>
      </w:r>
    </w:p>
    <w:p w14:paraId="6ED9DC7C">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（四）意向受让方为法人或其他组织的，是否已依法履行必要的内部决策程序或批准程序。</w:t>
      </w:r>
    </w:p>
    <w:p w14:paraId="36EC645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（五）意向受让方提交的资信证明文件是否符合产权转出公告的要求。</w:t>
      </w:r>
    </w:p>
    <w:p w14:paraId="25D1B7E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未经信息公告发布的受让方资格条件，不作为确认意向受让方受让资格的依据。</w:t>
      </w:r>
    </w:p>
    <w:p w14:paraId="79897E3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农交中心应及时将确认符合资格的意向受让方的登记情况告知出让方，出让方在收到农交中心的登记情况后，应当在3个工作日内予以回复，如对意向受让方资格条件存有异议，应当在回复中说明理由，并提交相关证明材料。出让方逾期未予回复的，视为同意农交中心做出的资格确认意见。</w:t>
      </w:r>
    </w:p>
    <w:p w14:paraId="2ABB3D7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农交中心审核通过后，在信息公告期满且所有意向受让方资格均已确认完毕，经征询出让方意见后，农交中心应向通过资格确认的意向受让方出具产权受让资格确认通知书。产权受让资格确认通知书应当明确意向受让方交纳交易保证金的金额和截止日期。</w:t>
      </w:r>
    </w:p>
    <w:p w14:paraId="6C3227C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意向受让方应按照产权转让公告的要求，在产权受让资格确认通知书规定的截止日期前，向农交中心交纳交易保证金（以到达农交中心指定账户时间为准）。意向受让方逾期未交纳交易保证金的，视为放弃受让资格。</w:t>
      </w:r>
    </w:p>
    <w:p w14:paraId="5B2D729B">
      <w:pPr>
        <w:pStyle w:val="13"/>
        <w:shd w:val="clear" w:color="auto" w:fill="FFFFFF"/>
        <w:spacing w:beforeAutospacing="0" w:afterAutospacing="0" w:line="560" w:lineRule="exact"/>
        <w:ind w:firstLine="640" w:firstLineChars="200"/>
        <w:jc w:val="center"/>
        <w:outlineLvl w:val="1"/>
        <w:rPr>
          <w:rFonts w:ascii="黑体" w:hAnsi="黑体" w:eastAsia="黑体" w:cs="黑体"/>
          <w:bCs/>
          <w:color w:val="333333"/>
          <w:sz w:val="32"/>
          <w:szCs w:val="32"/>
        </w:rPr>
      </w:pPr>
      <w:bookmarkStart w:id="230" w:name="_Toc8362"/>
      <w:r>
        <w:rPr>
          <w:rStyle w:val="18"/>
          <w:rFonts w:hint="eastAsia" w:ascii="黑体" w:hAnsi="黑体" w:eastAsia="黑体" w:cs="黑体"/>
          <w:b w:val="0"/>
          <w:bCs/>
          <w:color w:val="333333"/>
          <w:sz w:val="32"/>
          <w:szCs w:val="32"/>
          <w:shd w:val="clear" w:color="auto" w:fill="FFFFFF"/>
        </w:rPr>
        <w:t>第三章 附 则</w:t>
      </w:r>
      <w:bookmarkEnd w:id="230"/>
    </w:p>
    <w:p w14:paraId="799298D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本规则的解释权和修订权归石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2740E7F0">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sz w:val="32"/>
          <w:szCs w:val="32"/>
        </w:rPr>
        <w:sectPr>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b/>
          <w:bCs/>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本规则自印发之日起执行。</w:t>
      </w:r>
    </w:p>
    <w:p w14:paraId="17405149">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231" w:name="_Toc3226"/>
      <w:bookmarkStart w:id="232" w:name="_Toc32099"/>
      <w:bookmarkStart w:id="233" w:name="_Toc4143"/>
      <w:bookmarkStart w:id="234" w:name="_Toc15903"/>
      <w:bookmarkStart w:id="235" w:name="_Toc12153"/>
      <w:bookmarkStart w:id="236" w:name="_Toc359"/>
      <w:bookmarkStart w:id="237" w:name="_Toc4900"/>
      <w:bookmarkStart w:id="238" w:name="_Toc23091"/>
      <w:bookmarkStart w:id="239" w:name="_Toc17637"/>
      <w:bookmarkStart w:id="240" w:name="_Toc27020"/>
      <w:bookmarkStart w:id="241" w:name="_Toc15092"/>
      <w:bookmarkStart w:id="242" w:name="_Toc12548"/>
      <w:bookmarkStart w:id="243" w:name="_Toc28598"/>
      <w:bookmarkStart w:id="244" w:name="_Toc28309"/>
      <w:bookmarkStart w:id="245" w:name="_Toc19173"/>
      <w:bookmarkStart w:id="246" w:name="_Toc24099"/>
      <w:bookmarkStart w:id="247" w:name="_Toc6036"/>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2586676D">
      <w:pPr>
        <w:pStyle w:val="13"/>
        <w:shd w:val="clear" w:color="auto" w:fill="FFFFFF"/>
        <w:spacing w:beforeAutospacing="0" w:afterAutospacing="0" w:line="560" w:lineRule="exact"/>
        <w:jc w:val="center"/>
        <w:outlineLvl w:val="0"/>
        <w:rPr>
          <w:rStyle w:val="18"/>
          <w:rFonts w:ascii="黑体" w:hAnsi="黑体" w:eastAsia="黑体" w:cs="黑体"/>
          <w:b w:val="0"/>
          <w:bCs/>
          <w:color w:val="333333"/>
          <w:sz w:val="32"/>
          <w:szCs w:val="32"/>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网络竞价操作细则（试行）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303A82C3">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248" w:name="_Toc10586"/>
      <w:r>
        <w:rPr>
          <w:rStyle w:val="18"/>
          <w:rFonts w:hint="eastAsia" w:ascii="黑体" w:hAnsi="黑体" w:eastAsia="黑体" w:cs="黑体"/>
          <w:b w:val="0"/>
          <w:bCs/>
          <w:color w:val="333333"/>
          <w:sz w:val="32"/>
          <w:szCs w:val="32"/>
          <w:shd w:val="clear" w:color="auto" w:fill="FFFFFF"/>
        </w:rPr>
        <w:t>第一章 总 则</w:t>
      </w:r>
      <w:bookmarkEnd w:id="248"/>
    </w:p>
    <w:p w14:paraId="4FB7353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农村产权交易中心（以下简称“农交中心”）进行的农村产权网络竞价交易行为，根据《</w:t>
      </w:r>
      <w:r>
        <w:rPr>
          <w:rFonts w:hint="eastAsia" w:ascii="___WRD_EMBED_SUB_45" w:hAnsi="___WRD_EMBED_SUB_45" w:eastAsia="___WRD_EMBED_SUB_45" w:cs="___WRD_EMBED_SUB_45"/>
          <w:color w:val="333333"/>
          <w:sz w:val="32"/>
          <w:szCs w:val="32"/>
          <w:shd w:val="clear" w:color="auto" w:fill="FFFFFF"/>
        </w:rPr>
        <w:t>石门县</w:t>
      </w:r>
      <w:r>
        <w:rPr>
          <w:rFonts w:hint="eastAsia" w:ascii="仿宋_GB2312" w:hAnsi="仿宋_GB2312" w:eastAsia="仿宋_GB2312" w:cs="仿宋_GB2312"/>
          <w:color w:val="333333"/>
          <w:sz w:val="32"/>
          <w:szCs w:val="32"/>
          <w:shd w:val="clear" w:color="auto" w:fill="FFFFFF"/>
        </w:rPr>
        <w:t>农村产权交易中心农村产权流转交易规则（试行）》的相关规定，制定本规则。</w:t>
      </w:r>
    </w:p>
    <w:p w14:paraId="4281C95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在农交中心挂牌转出的项目，当产生两个及以上意向受让方时，根据农交中心与出让方共同商定确认采用网络竞价方式的，适用本规则。法律、法规和规章另有规则的，从其规则。</w:t>
      </w:r>
    </w:p>
    <w:p w14:paraId="0816BFB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竞价活动中交易各方必须接受农交中心及各有关机构依法实施的监督管理。竞价成功后交易双方要按交易程序的有关规定履行相关手续。</w:t>
      </w:r>
    </w:p>
    <w:p w14:paraId="6BC59B8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本规则所称的网络竞价，是指产权转出信息发布期满，产生两个及以上符合条件的竞买人，由农交中心依据《农村产权转出申请书》的相关约定和产权标的具体情况，通过农交中心建立的网络竞价系统，组织竞买人竞争受让标的的行为。网络竞价的方式主要为多次报价。</w:t>
      </w:r>
    </w:p>
    <w:p w14:paraId="16EC984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本办法所称的竞买人，是指在标的项目挂牌期内提出受让申请，并按规定交纳保证金后获得资格确认的意向受让方。</w:t>
      </w:r>
    </w:p>
    <w:p w14:paraId="0D99EC8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本办法所称的受让方，是指最终竞价成功的竞买人。</w:t>
      </w:r>
    </w:p>
    <w:p w14:paraId="6513B4A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本办法所称的多次报价，是指在农交中心的组织下，意向受让方接受出让方确定的交易条件，通过农交中心的网络竞价系统进行动态递增（递减）报价，将报价最高（最低）者确定为受让方的竞价方式。</w:t>
      </w:r>
    </w:p>
    <w:p w14:paraId="40059088">
      <w:pPr>
        <w:pStyle w:val="13"/>
        <w:shd w:val="clear" w:color="auto" w:fill="FFFFFF"/>
        <w:spacing w:beforeAutospacing="0" w:afterAutospacing="0" w:line="560" w:lineRule="exact"/>
        <w:jc w:val="center"/>
        <w:outlineLvl w:val="1"/>
        <w:rPr>
          <w:rFonts w:ascii="方正仿宋_GB2312" w:hAnsi="方正仿宋_GB2312" w:eastAsia="方正仿宋_GB2312" w:cs="方正仿宋_GB2312"/>
          <w:bCs/>
          <w:color w:val="333333"/>
          <w:sz w:val="32"/>
          <w:szCs w:val="32"/>
        </w:rPr>
      </w:pPr>
      <w:bookmarkStart w:id="249" w:name="_Toc5738"/>
      <w:r>
        <w:rPr>
          <w:rStyle w:val="18"/>
          <w:rFonts w:hint="eastAsia" w:ascii="黑体" w:hAnsi="黑体" w:eastAsia="黑体" w:cs="黑体"/>
          <w:b w:val="0"/>
          <w:bCs/>
          <w:color w:val="333333"/>
          <w:sz w:val="32"/>
          <w:szCs w:val="32"/>
          <w:shd w:val="clear" w:color="auto" w:fill="FFFFFF"/>
        </w:rPr>
        <w:t>第二章 组织与实施</w:t>
      </w:r>
      <w:bookmarkEnd w:id="249"/>
    </w:p>
    <w:p w14:paraId="3086778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农交中心是网络竞价的组织者，应当为网络竞价提供交易平台的相关服务，维护网络竞价活动的正常秩序。</w:t>
      </w:r>
    </w:p>
    <w:p w14:paraId="31A4C39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出让方在《农村产权转出申请书》中应明确产生两个及以上符合条件的竞买人时使用网络竞价方式。</w:t>
      </w:r>
    </w:p>
    <w:p w14:paraId="18EF9B1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标的竞价底价不得低于挂牌价。网络竞价采用动态递增方式进行的，各竞买人每次的有效报价为当前报价加上该次网络竞价活动设定的加价幅度的整数倍。</w:t>
      </w:r>
    </w:p>
    <w:p w14:paraId="3B1DC681">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50" w:name="_Toc5713"/>
      <w:r>
        <w:rPr>
          <w:rStyle w:val="18"/>
          <w:rFonts w:hint="eastAsia" w:ascii="黑体" w:hAnsi="黑体" w:eastAsia="黑体" w:cs="黑体"/>
          <w:b w:val="0"/>
          <w:bCs/>
          <w:color w:val="333333"/>
          <w:sz w:val="32"/>
          <w:szCs w:val="32"/>
          <w:shd w:val="clear" w:color="auto" w:fill="FFFFFF"/>
        </w:rPr>
        <w:t>第三章 竞价程序</w:t>
      </w:r>
      <w:bookmarkEnd w:id="250"/>
    </w:p>
    <w:p w14:paraId="0055141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竞价程序如下：</w:t>
      </w:r>
    </w:p>
    <w:p w14:paraId="5AF065E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（一）通知登记。当挂牌转出项目产生两个及以上意向受让方时，通知各意向受让方办理竞买登记。</w:t>
      </w:r>
    </w:p>
    <w:p w14:paraId="538368C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（二）审查受理。各意向受让方应按农交中心通知要求及时办理交付交易保证金及申请竞拍登记。农交中心将在所规定的期限内为符合条件的受让方办理竞价登记。交易保证金全额须在规定期限内一次性交纳。</w:t>
      </w:r>
    </w:p>
    <w:p w14:paraId="7357722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（三）组织竞价。意向受让方在报名登记成功后，凭报名时的用户名、密码登录竞价系统，并按照农交中心指定的时间参加网络竞价活动。竞价前，意向受让方（或受委托人）应认真阅读并正确理解《石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农村产权交易中心网络竞价实施办法（试行）》《网络竞价项目承诺函》《网络竞价须知》等全部的条款及内容。</w:t>
      </w:r>
    </w:p>
    <w:p w14:paraId="7CC4516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（四）成交确认。交易项目竞价结束后，产生受让方，农交中心发布线上公示和出具线下成交公示公告。</w:t>
      </w:r>
    </w:p>
    <w:p w14:paraId="1273146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组织签约。竞价成功后，受让方应在竞价结束次日起5个工作日内与出让方签订交易合同并按约定支付此次交易的全部费用。</w:t>
      </w:r>
    </w:p>
    <w:p w14:paraId="63E2EB11">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51" w:name="_Toc9163"/>
      <w:r>
        <w:rPr>
          <w:rStyle w:val="18"/>
          <w:rFonts w:hint="eastAsia" w:ascii="黑体" w:hAnsi="黑体" w:eastAsia="黑体" w:cs="黑体"/>
          <w:b w:val="0"/>
          <w:bCs/>
          <w:color w:val="333333"/>
          <w:sz w:val="32"/>
          <w:szCs w:val="32"/>
          <w:shd w:val="clear" w:color="auto" w:fill="FFFFFF"/>
        </w:rPr>
        <w:t>第四章 交纳费用</w:t>
      </w:r>
      <w:bookmarkEnd w:id="251"/>
    </w:p>
    <w:p w14:paraId="1360CCB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以网络竞价方式成交的项目，出让方和受让方均须按照《石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农村产权交易中心收费标准（试行）》中的相关规定向农交中心一次性支付服务费。</w:t>
      </w:r>
    </w:p>
    <w:p w14:paraId="039B0EC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竞价成功后受让方交纳的交易保证金自动转为成交价款进行场内结算，其余成交价款应按交易双方签订的交易合同约定方式履行付款手续。其他</w:t>
      </w:r>
      <w:r>
        <w:rPr>
          <w:rFonts w:hint="eastAsia" w:ascii="仿宋_GB2312" w:hAnsi="仿宋_GB2312" w:eastAsia="仿宋_GB2312" w:cs="仿宋_GB2312"/>
          <w:color w:val="E54C5E" w:themeColor="accent6"/>
          <w:sz w:val="32"/>
          <w:szCs w:val="32"/>
          <w:shd w:val="clear" w:color="auto" w:fill="FFFFFF"/>
          <w14:textFill>
            <w14:solidFill>
              <w14:schemeClr w14:val="accent6"/>
            </w14:solidFill>
          </w14:textFill>
        </w:rPr>
        <w:t>未竞价成功</w:t>
      </w:r>
      <w:r>
        <w:rPr>
          <w:rFonts w:hint="eastAsia" w:ascii="仿宋_GB2312" w:hAnsi="仿宋_GB2312" w:eastAsia="仿宋_GB2312" w:cs="仿宋_GB2312"/>
          <w:color w:val="333333"/>
          <w:sz w:val="32"/>
          <w:szCs w:val="32"/>
          <w:shd w:val="clear" w:color="auto" w:fill="FFFFFF"/>
        </w:rPr>
        <w:t>方的交易保证金将由农交中心在竞价结束后的</w:t>
      </w:r>
      <w:r>
        <w:rPr>
          <w:rFonts w:hint="eastAsia" w:ascii="仿宋_GB2312" w:hAnsi="仿宋_GB2312" w:eastAsia="仿宋_GB2312" w:cs="仿宋_GB2312"/>
          <w:color w:val="E54C5E" w:themeColor="accent6"/>
          <w:sz w:val="32"/>
          <w:szCs w:val="32"/>
          <w:shd w:val="clear" w:color="auto" w:fill="FFFFFF"/>
          <w14:textFill>
            <w14:solidFill>
              <w14:schemeClr w14:val="accent6"/>
            </w14:solidFill>
          </w14:textFill>
        </w:rPr>
        <w:t>5</w:t>
      </w:r>
      <w:r>
        <w:rPr>
          <w:rFonts w:hint="eastAsia" w:ascii="仿宋_GB2312" w:hAnsi="仿宋_GB2312" w:eastAsia="仿宋_GB2312" w:cs="仿宋_GB2312"/>
          <w:color w:val="333333"/>
          <w:sz w:val="32"/>
          <w:szCs w:val="32"/>
          <w:shd w:val="clear" w:color="auto" w:fill="FFFFFF"/>
        </w:rPr>
        <w:t>个工作日内办理返还手续，当事方同时履行申请退款手续。交易保证金相关事项按照《石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农村产权交易中心交易保证金操作细则（试行）》有关规定办理。</w:t>
      </w:r>
    </w:p>
    <w:p w14:paraId="6E93CBC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竞价活动中的交易保证金及成交价款收付均通过农交中心统一结算（场外结算另有规定的，从其规定）。</w:t>
      </w:r>
    </w:p>
    <w:p w14:paraId="36FC7990">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52" w:name="_Toc27777"/>
      <w:r>
        <w:rPr>
          <w:rStyle w:val="18"/>
          <w:rFonts w:hint="eastAsia" w:ascii="黑体" w:hAnsi="黑体" w:eastAsia="黑体" w:cs="黑体"/>
          <w:b w:val="0"/>
          <w:bCs/>
          <w:color w:val="333333"/>
          <w:sz w:val="32"/>
          <w:szCs w:val="32"/>
          <w:shd w:val="clear" w:color="auto" w:fill="FFFFFF"/>
        </w:rPr>
        <w:t>第五章 争议的处理</w:t>
      </w:r>
      <w:bookmarkEnd w:id="252"/>
    </w:p>
    <w:p w14:paraId="0ED06A0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出让方和受让方在竞价交易过程中产生的争议可向农交中心申请调解。经调解无效时，当事人均可向仲裁机构申请仲裁或直接向当地有管辖权法院起诉。</w:t>
      </w:r>
    </w:p>
    <w:p w14:paraId="6C8114F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出现下列情况之一，农交中心有权终结该标的网络竞价活动：</w:t>
      </w:r>
    </w:p>
    <w:p w14:paraId="2F0D3F7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（一）转出标的因不可抗力毁损、灭失。</w:t>
      </w:r>
    </w:p>
    <w:p w14:paraId="2A47761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（二）标的企业解散、被吊销营业执照或依法被注销的。</w:t>
      </w:r>
    </w:p>
    <w:p w14:paraId="128A385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（三）出让方或受让方解散，或依法被注销的。</w:t>
      </w:r>
    </w:p>
    <w:p w14:paraId="5BA0D96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（四）出让方或意向受让方为自然人，丧失民事行为能力或死亡的。</w:t>
      </w:r>
    </w:p>
    <w:p w14:paraId="44C0C57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（五）行政主管部门、人民法院依法发出终结交易书面通知的。</w:t>
      </w:r>
    </w:p>
    <w:p w14:paraId="326454E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（六）法律、法规和规章规定的其他终结情形。</w:t>
      </w:r>
    </w:p>
    <w:p w14:paraId="4E19E04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（七）其他经农交中心确认应终结的情形。</w:t>
      </w:r>
    </w:p>
    <w:p w14:paraId="51BD229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网络竞价系统因不可抗力、软硬件故障、非法入侵、恶意攻击等原因而导致系统异常、竞价活动中断的，农交中心将视情况与出让方协商后确定后续方案，并采取适用方式及时将处理决定通知各竞买人。</w:t>
      </w:r>
    </w:p>
    <w:p w14:paraId="5FE5A45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当出现下列情形时，各相关方除向意向受让方主张相应的赔偿责任外，农交中心有权决定取消其竞价资格并视情况组织重新竞价：</w:t>
      </w:r>
    </w:p>
    <w:p w14:paraId="07DDBBF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（一）意向受让方故意提供虚假、失实材料造成出让方和农交中心损失的。</w:t>
      </w:r>
    </w:p>
    <w:p w14:paraId="608125A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（二）意向受让方通过获取出让方或标的企业的商业秘密，侵害出让方合法权益的。</w:t>
      </w:r>
    </w:p>
    <w:p w14:paraId="558E94F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（三）意向受让方之间相互串通，影响公平竞争，侵害出让方合法权益的。</w:t>
      </w:r>
    </w:p>
    <w:p w14:paraId="59F4C58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（四）意向受让方在竞价过程中违反竞价规则和农村产权交易相关规则，扰乱竞价秩序的。</w:t>
      </w:r>
    </w:p>
    <w:p w14:paraId="1E49CB8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（五）意向受让方恶意炒作、操纵</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场价格、出价严重偏离</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场价格等非正当手段扰乱</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场交易行为的。</w:t>
      </w:r>
    </w:p>
    <w:p w14:paraId="101259A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（六）意向受让方在竞价成功后未按约定支付合同价款和交易服务费的。</w:t>
      </w:r>
    </w:p>
    <w:p w14:paraId="2B054FE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（七）意向受让方违反法律法规或相关规定给出让方造成损失的。</w:t>
      </w:r>
    </w:p>
    <w:p w14:paraId="05D81A2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（八）意向受让方竞价成功后未在规定时间内签订合同，经催告后在合理期限内仍未签订合同的。</w:t>
      </w:r>
    </w:p>
    <w:p w14:paraId="4E7028F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（九）受让方未按交易条件的要求完成标的交付交接的。</w:t>
      </w:r>
    </w:p>
    <w:p w14:paraId="3FDFE9D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（十）农交中心认定的其他破坏正常交易秩序、不推进交易或放弃受让等违反公平、公正、诚实信用的行为。</w:t>
      </w:r>
    </w:p>
    <w:p w14:paraId="0C1B993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产权交易机构、出让方及其经纪人、机构应当对竞买人的名称、数量以及可能影响公平竞争的其他情况承担保密义务。</w:t>
      </w:r>
    </w:p>
    <w:p w14:paraId="19D22D0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jc w:val="center"/>
        <w:textAlignment w:val="auto"/>
        <w:outlineLvl w:val="1"/>
        <w:rPr>
          <w:rStyle w:val="18"/>
          <w:rFonts w:ascii="黑体" w:hAnsi="黑体" w:eastAsia="黑体" w:cs="黑体"/>
          <w:b w:val="0"/>
          <w:bCs/>
          <w:color w:val="333333"/>
          <w:sz w:val="32"/>
          <w:szCs w:val="32"/>
          <w:shd w:val="clear" w:color="auto" w:fill="FFFFFF"/>
        </w:rPr>
      </w:pPr>
      <w:bookmarkStart w:id="253" w:name="_Toc13536"/>
      <w:r>
        <w:rPr>
          <w:rStyle w:val="18"/>
          <w:rFonts w:hint="eastAsia" w:ascii="黑体" w:hAnsi="黑体" w:eastAsia="黑体" w:cs="黑体"/>
          <w:b w:val="0"/>
          <w:bCs/>
          <w:color w:val="333333"/>
          <w:sz w:val="32"/>
          <w:szCs w:val="32"/>
          <w:shd w:val="clear" w:color="auto" w:fill="FFFFFF"/>
        </w:rPr>
        <w:t>第六章 附 则</w:t>
      </w:r>
      <w:bookmarkEnd w:id="253"/>
    </w:p>
    <w:p w14:paraId="2F1608B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本规则的解释权和修订权归石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7B5802A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sectPr>
          <w:pgSz w:w="11906" w:h="16838"/>
          <w:pgMar w:top="2098" w:right="1474" w:bottom="1984" w:left="1587" w:header="851" w:footer="992" w:gutter="0"/>
          <w:pgNumType w:fmt="numberInDash"/>
          <w:cols w:space="425" w:num="1"/>
          <w:docGrid w:type="lines" w:linePitch="312" w:charSpace="0"/>
        </w:sectPr>
      </w:pPr>
      <w:r>
        <w:rPr>
          <w:rStyle w:val="18"/>
          <w:rFonts w:hint="eastAsia" w:ascii="仿宋_GB2312" w:hAnsi="仿宋_GB2312" w:eastAsia="仿宋_GB2312" w:cs="仿宋_GB2312"/>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本规则自印发之日起执行。</w:t>
      </w:r>
    </w:p>
    <w:p w14:paraId="6B9B3848">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254" w:name="_Toc26961"/>
      <w:bookmarkStart w:id="255" w:name="_Toc24886"/>
      <w:bookmarkStart w:id="256" w:name="_Toc12553"/>
      <w:bookmarkStart w:id="257" w:name="_Toc21101"/>
      <w:bookmarkStart w:id="258" w:name="_Toc3112"/>
      <w:bookmarkStart w:id="259" w:name="_Toc14797"/>
      <w:bookmarkStart w:id="260" w:name="_Toc18554"/>
      <w:bookmarkStart w:id="261" w:name="_Toc8575"/>
      <w:bookmarkStart w:id="262" w:name="_Toc15924"/>
      <w:bookmarkStart w:id="263" w:name="_Toc24428"/>
      <w:bookmarkStart w:id="264" w:name="_Toc1176"/>
      <w:bookmarkStart w:id="265" w:name="_Toc15045"/>
      <w:bookmarkStart w:id="266" w:name="_Toc15668"/>
      <w:bookmarkStart w:id="267" w:name="_Toc5059"/>
      <w:bookmarkStart w:id="268" w:name="_Toc5486"/>
      <w:bookmarkStart w:id="269" w:name="_Toc24733"/>
      <w:bookmarkStart w:id="270" w:name="_Toc910"/>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3CCB1ACB">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组织交易签约操作细则（试行）</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6CFA24E">
      <w:pPr>
        <w:pStyle w:val="13"/>
        <w:shd w:val="clear" w:color="auto" w:fill="FFFFFF"/>
        <w:spacing w:beforeAutospacing="0" w:afterAutospacing="0" w:line="560" w:lineRule="exact"/>
        <w:ind w:firstLine="643" w:firstLineChars="200"/>
        <w:rPr>
          <w:rFonts w:ascii="仿宋_GB2312" w:hAnsi="仿宋_GB2312" w:eastAsia="仿宋_GB2312" w:cs="仿宋_GB2312"/>
          <w:b/>
          <w:bCs/>
          <w:color w:val="333333"/>
          <w:sz w:val="32"/>
          <w:szCs w:val="32"/>
          <w:shd w:val="clear" w:color="auto" w:fill="FFFFFF"/>
        </w:rPr>
      </w:pPr>
    </w:p>
    <w:p w14:paraId="76926BE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农村产权交易中心（以下简称“农交中心”）农村产权转让竞价活动的组织及交易合同的签约等行为，根据《石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农村产权交易中心农村产权流转交易规则（试行）》，制定本规则。</w:t>
      </w:r>
    </w:p>
    <w:p w14:paraId="6A41F6B2">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b/>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在农交中心进行农村产权交易的竞价和签订交易合同等相关活动，适用本规则。法律、法规和规章另有规定的，从其规定。</w:t>
      </w:r>
    </w:p>
    <w:p w14:paraId="7FA2080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出让方在产权转让公告中选择可采取协议出让方式的，在产权转让信息公告期满后，只产生一个符合条件的意向受让方时，交易双方应当在农交中心的组织下进行协议转让，成交价格按挂牌价与买方报价孰高原则，不得低于产权转让公告中的标的公告价格。</w:t>
      </w:r>
    </w:p>
    <w:p w14:paraId="061A7D3D">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第四条 </w:t>
      </w:r>
      <w:r>
        <w:rPr>
          <w:rFonts w:hint="eastAsia" w:ascii="仿宋_GB2312" w:hAnsi="仿宋_GB2312" w:eastAsia="仿宋_GB2312" w:cs="仿宋_GB2312"/>
          <w:color w:val="333333"/>
          <w:sz w:val="32"/>
          <w:szCs w:val="32"/>
          <w:shd w:val="clear" w:color="auto" w:fill="FFFFFF"/>
        </w:rPr>
        <w:t>产权转让信息公告期满后，产生两个及以上符合条件的意向受让方的，农交中心应当按照产权转让公告中公布的竞价方式组织或指导实施公开竞价。</w:t>
      </w:r>
    </w:p>
    <w:p w14:paraId="4143435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公开竞价方式包括动态报价、网络竞价、拍卖、招投标以及其他竞价方式。</w:t>
      </w:r>
    </w:p>
    <w:p w14:paraId="4C7AFA3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转让标的相关方在同等条件下行使优先购买权的，应当向农交中心提交证明材料，依照法律法规和农交中心交易规则的规定参与竞买。</w:t>
      </w:r>
    </w:p>
    <w:p w14:paraId="24DE87E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第七条 </w:t>
      </w:r>
      <w:r>
        <w:rPr>
          <w:rFonts w:hint="eastAsia" w:ascii="仿宋_GB2312" w:hAnsi="仿宋_GB2312" w:eastAsia="仿宋_GB2312" w:cs="仿宋_GB2312"/>
          <w:color w:val="333333"/>
          <w:sz w:val="32"/>
          <w:szCs w:val="32"/>
          <w:shd w:val="clear" w:color="auto" w:fill="FFFFFF"/>
        </w:rPr>
        <w:t>农交中心在确定受让方的次日起</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个工作日内，组织交易双方签订农村产权交易合同。</w:t>
      </w:r>
    </w:p>
    <w:p w14:paraId="08111E1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农村产权交易合同包括但不限于以下内容：</w:t>
      </w:r>
    </w:p>
    <w:p w14:paraId="13BBF20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一、产权交易双方的名称与住所；</w:t>
      </w:r>
    </w:p>
    <w:p w14:paraId="2C41E88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二、转让标的的基本情况；</w:t>
      </w:r>
    </w:p>
    <w:p w14:paraId="7782CDB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三、产权出让方式；</w:t>
      </w:r>
    </w:p>
    <w:p w14:paraId="701B190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四、转让价格、合同价款付款方式及付款期限；</w:t>
      </w:r>
    </w:p>
    <w:p w14:paraId="5A9B43A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五、产权交易事项；</w:t>
      </w:r>
    </w:p>
    <w:p w14:paraId="117F6D7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六、合同的生效条件；</w:t>
      </w:r>
    </w:p>
    <w:p w14:paraId="6096EAC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七、合同争议的解决方式；</w:t>
      </w:r>
    </w:p>
    <w:p w14:paraId="18B9ED3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八、合同各方的违约责任；</w:t>
      </w:r>
    </w:p>
    <w:p w14:paraId="2FCE732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九、合同变更和解除的条件；</w:t>
      </w:r>
    </w:p>
    <w:p w14:paraId="1E23A78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十、交易双方约定的其他事项。</w:t>
      </w:r>
    </w:p>
    <w:p w14:paraId="58DDFCF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农交中心应当依据法律法规及农交中心交易流程的相关规定，按照产权转让公告的内容以及交易结果等，对产权交易合同进行审核。</w:t>
      </w:r>
    </w:p>
    <w:p w14:paraId="573F832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根据法律法规及相关规定，产权交易的生效需经政府相关部门批准的，交易双方应当将产权交易合同及相关材料报相关部门批准。</w:t>
      </w:r>
    </w:p>
    <w:p w14:paraId="3A9731B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本规则解释权属于石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555AAB9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本规则自发布之日起施行。</w:t>
      </w:r>
    </w:p>
    <w:p w14:paraId="1276B573">
      <w:pPr>
        <w:spacing w:line="560" w:lineRule="exact"/>
        <w:sectPr>
          <w:pgSz w:w="11906" w:h="16838"/>
          <w:pgMar w:top="2098" w:right="1474" w:bottom="1984" w:left="1587" w:header="851" w:footer="992" w:gutter="0"/>
          <w:pgNumType w:fmt="numberInDash"/>
          <w:cols w:space="425" w:num="1"/>
          <w:docGrid w:type="lines" w:linePitch="312" w:charSpace="0"/>
        </w:sectPr>
      </w:pPr>
    </w:p>
    <w:p w14:paraId="6228BBF4">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271" w:name="_Toc11311"/>
      <w:bookmarkStart w:id="272" w:name="_Toc4448"/>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7AD5B57B">
      <w:pPr>
        <w:pStyle w:val="13"/>
        <w:shd w:val="clear" w:color="auto" w:fill="FFFFFF"/>
        <w:spacing w:beforeAutospacing="0" w:afterAutospacing="0" w:line="560" w:lineRule="exact"/>
        <w:jc w:val="center"/>
        <w:outlineLvl w:val="0"/>
        <w:rPr>
          <w:rStyle w:val="18"/>
          <w:rFonts w:ascii="微软雅黑" w:hAnsi="微软雅黑" w:eastAsia="微软雅黑" w:cs="微软雅黑"/>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交易保证金操作细则（试行）</w:t>
      </w:r>
      <w:bookmarkEnd w:id="271"/>
      <w:bookmarkEnd w:id="272"/>
    </w:p>
    <w:p w14:paraId="73A0338E">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273" w:name="_Toc18424"/>
      <w:r>
        <w:rPr>
          <w:rStyle w:val="18"/>
          <w:rFonts w:hint="eastAsia" w:ascii="黑体" w:hAnsi="黑体" w:eastAsia="黑体" w:cs="黑体"/>
          <w:b w:val="0"/>
          <w:bCs/>
          <w:color w:val="333333"/>
          <w:sz w:val="32"/>
          <w:szCs w:val="32"/>
          <w:shd w:val="clear" w:color="auto" w:fill="FFFFFF"/>
        </w:rPr>
        <w:t>第一章 总 则</w:t>
      </w:r>
      <w:bookmarkEnd w:id="273"/>
    </w:p>
    <w:p w14:paraId="63E6C2C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农村产权交易中心（以下简称“农交中心”）进行的农村产权意向受让方的登记和资格确认行为，根据《石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农村产权交易中心农村产权流转交易规则（试行）》的相关规定，制定本规则。</w:t>
      </w:r>
    </w:p>
    <w:p w14:paraId="26CC01D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在农交中心进行农村产权交易过程中涉及交易保证金的相关行为，适用本规则。如有法律、法规和规章另有规定的，从其规定。</w:t>
      </w:r>
    </w:p>
    <w:p w14:paraId="7B6EBCD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本规则所称的交易保证金，是指在产权交易过程中，产权交易主体承诺遵守</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场规则和交易约定，在发生违规违约行为时作为赔偿相关主体的经济保证。</w:t>
      </w:r>
    </w:p>
    <w:p w14:paraId="624F5EF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出让方可以依据本规则在产权转出信息发布申请时向农交中心提出设置交易保证金，并公开发布保证金交纳的时间、具体金额、交纳方式、保证事项和处置方法等内容，明确相关当事人的权利义务，承诺在自身发生违规违约行为时，以设定交易保证金的同等数额承担损害赔偿责任。</w:t>
      </w:r>
    </w:p>
    <w:p w14:paraId="19FC1CD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农交中心应当对《农村产权转出申请书》中的保证金设置进行审核，对交纳的交易保证金进行管理，提供交易保证金结算等相关服务，并依据本规则及相关约定对交易保证金进行处置。</w:t>
      </w:r>
    </w:p>
    <w:p w14:paraId="77EBA438">
      <w:pPr>
        <w:pStyle w:val="13"/>
        <w:shd w:val="clear" w:color="auto" w:fill="FFFFFF"/>
        <w:spacing w:beforeAutospacing="0" w:afterAutospacing="0" w:line="560" w:lineRule="exact"/>
        <w:ind w:firstLine="640" w:firstLineChars="200"/>
        <w:jc w:val="center"/>
        <w:outlineLvl w:val="1"/>
        <w:rPr>
          <w:rStyle w:val="18"/>
          <w:rFonts w:ascii="黑体" w:hAnsi="黑体" w:eastAsia="黑体" w:cs="黑体"/>
          <w:b w:val="0"/>
          <w:bCs/>
          <w:color w:val="333333"/>
          <w:sz w:val="32"/>
          <w:szCs w:val="32"/>
          <w:shd w:val="clear" w:color="auto" w:fill="FFFFFF"/>
        </w:rPr>
      </w:pPr>
      <w:bookmarkStart w:id="274" w:name="_Toc21891"/>
      <w:r>
        <w:rPr>
          <w:rStyle w:val="18"/>
          <w:rFonts w:hint="eastAsia" w:ascii="黑体" w:hAnsi="黑体" w:eastAsia="黑体" w:cs="黑体"/>
          <w:b w:val="0"/>
          <w:bCs/>
          <w:color w:val="333333"/>
          <w:sz w:val="32"/>
          <w:szCs w:val="32"/>
          <w:shd w:val="clear" w:color="auto" w:fill="FFFFFF"/>
        </w:rPr>
        <w:t>第二章 交易保证金的设置</w:t>
      </w:r>
      <w:bookmarkEnd w:id="274"/>
    </w:p>
    <w:p w14:paraId="2607EE0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交易保证金的设置、处置应遵循公开、公平及合理、适当的原则。</w:t>
      </w:r>
    </w:p>
    <w:p w14:paraId="194476B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意向受让方应在规定的时间内将交易保证金足额交纳至农交中心指定的保证金专用账户。意向受让方未在约定期限内交纳交易保证金的，丧失受让资格。</w:t>
      </w:r>
    </w:p>
    <w:p w14:paraId="728B05F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交易保证金金额由出让方设定，交易保证金一般不得高于转出标的挂牌总价的30%，交易保证金的交纳形式包括农交中心所认定的银行现金、电子保函、投标保证保险电子保单等方式。</w:t>
      </w:r>
    </w:p>
    <w:p w14:paraId="5A7103D6">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rPr>
      </w:pPr>
      <w:r>
        <w:rPr>
          <w:rFonts w:hint="eastAsia" w:ascii="仿宋_GB2312" w:hAnsi="仿宋_GB2312" w:eastAsia="仿宋_GB2312" w:cs="仿宋_GB2312"/>
          <w:b/>
          <w:bCs/>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交易保证金来源的合法性由交纳主体负责，农交中心不承担任何责任。</w:t>
      </w:r>
    </w:p>
    <w:p w14:paraId="3CAD159D">
      <w:pPr>
        <w:pStyle w:val="13"/>
        <w:shd w:val="clear" w:color="auto" w:fill="FFFFFF"/>
        <w:spacing w:beforeAutospacing="0" w:afterAutospacing="0" w:line="560" w:lineRule="exact"/>
        <w:ind w:firstLine="640" w:firstLineChars="200"/>
        <w:jc w:val="center"/>
        <w:outlineLvl w:val="1"/>
        <w:rPr>
          <w:rStyle w:val="18"/>
          <w:rFonts w:ascii="黑体" w:hAnsi="黑体" w:eastAsia="黑体" w:cs="黑体"/>
          <w:b w:val="0"/>
          <w:bCs/>
          <w:color w:val="333333"/>
          <w:sz w:val="32"/>
          <w:szCs w:val="32"/>
          <w:shd w:val="clear" w:color="auto" w:fill="FFFFFF"/>
        </w:rPr>
      </w:pPr>
      <w:bookmarkStart w:id="275" w:name="_Toc17184"/>
      <w:r>
        <w:rPr>
          <w:rStyle w:val="18"/>
          <w:rFonts w:hint="eastAsia" w:ascii="黑体" w:hAnsi="黑体" w:eastAsia="黑体" w:cs="黑体"/>
          <w:b w:val="0"/>
          <w:bCs/>
          <w:color w:val="333333"/>
          <w:sz w:val="32"/>
          <w:szCs w:val="32"/>
          <w:shd w:val="clear" w:color="auto" w:fill="FFFFFF"/>
        </w:rPr>
        <w:t>第三章 交易保证金的处置</w:t>
      </w:r>
      <w:bookmarkEnd w:id="275"/>
    </w:p>
    <w:p w14:paraId="5722FEF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出让方与受让方签订交易合同后，交易保证金存入专用账户。受让方交纳的交易保证金可以根据约定转为产权交易价款，农交中心应当将交易保证金从专用账户转入产权交易价款结算账户。</w:t>
      </w:r>
    </w:p>
    <w:p w14:paraId="749BA51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农交中心应当按照下列情形，在规定时间内将交易保证金原额返还相应的交纳主体。</w:t>
      </w:r>
    </w:p>
    <w:p w14:paraId="1219440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（一）产权交易当事人没有约定交易保证金使用方式的，受让方已支付产权交易价款的，应在受让方支付全部价款或分期付款的首付款之日起</w:t>
      </w:r>
      <w:r>
        <w:rPr>
          <w:rFonts w:hint="eastAsia" w:ascii="仿宋_GB2312" w:hAnsi="仿宋_GB2312" w:eastAsia="仿宋_GB2312" w:cs="仿宋_GB2312"/>
          <w:color w:val="E54C5E" w:themeColor="accent6"/>
          <w:sz w:val="32"/>
          <w:szCs w:val="32"/>
          <w:shd w:val="clear" w:color="auto" w:fill="FFFFFF"/>
          <w14:textFill>
            <w14:solidFill>
              <w14:schemeClr w14:val="accent6"/>
            </w14:solidFill>
          </w14:textFill>
        </w:rPr>
        <w:t>7</w:t>
      </w:r>
      <w:r>
        <w:rPr>
          <w:rFonts w:hint="eastAsia" w:ascii="仿宋_GB2312" w:hAnsi="仿宋_GB2312" w:eastAsia="仿宋_GB2312" w:cs="仿宋_GB2312"/>
          <w:color w:val="333333"/>
          <w:sz w:val="32"/>
          <w:szCs w:val="32"/>
          <w:shd w:val="clear" w:color="auto" w:fill="FFFFFF"/>
        </w:rPr>
        <w:t>个工作日内，将其已交纳的交易保证金原额予以返还。</w:t>
      </w:r>
    </w:p>
    <w:p w14:paraId="6E530D37">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（二）意向受让方未被确定为受让方，且未出现本规则第十四条所列情形的，应在受让方被确定之日起7个工作日内，将其已交纳的交易保证金原额予以返还。</w:t>
      </w:r>
    </w:p>
    <w:p w14:paraId="032EE6E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意向受让方在交纳交易保证金后退出产权交易程序，且未出现本规则第十三条所列情形的，应在意向受让方明确表示放弃受让且经出让方书面同意之日起5个工作日内，将其已交纳的交易保证金原额予以返还。</w:t>
      </w:r>
    </w:p>
    <w:p w14:paraId="395DD3F6">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产权交易中止或终结时，无涉及产权交易中止或终结事项的意向受让方可以向农交中心申请返还交易保证金，农交中心应当在意向受让方提出申请之日起5个工作日内，将其已交纳的交易保证金原额予以返还。</w:t>
      </w:r>
    </w:p>
    <w:p w14:paraId="5F99513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（五）农交中心返还交易保证金时，应当一次性原额原途径返还。</w:t>
      </w:r>
    </w:p>
    <w:p w14:paraId="17CEB64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产权交易中止期满决定恢复交易的，农交中心应当及时通知各相关的意向受让方，已返还交易保证金的意向受让方应当自收到农交中心通知之日起的5个工作日内重新交纳交易保证金，意向受让方未按时交纳交易保证金的，农交中心应当取消其受让资格。</w:t>
      </w:r>
    </w:p>
    <w:p w14:paraId="70348EB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当出现下列情形时，出让方有权按照《农村产权转出申请书》中关于交易保证金处置的约定，以意向受让方递交的交易保证金为限，在扣除农交中心的交易组织费用和委托经纪人、机构的代理费用后，向意向受让方主张相应的赔偿责任。</w:t>
      </w:r>
    </w:p>
    <w:p w14:paraId="2B5343F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（一）意向受让方故意提供虚假、失实材料造成出让方和农交中心损失的。</w:t>
      </w:r>
    </w:p>
    <w:p w14:paraId="34642E8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（二）意向受让方通过获取出让方的商业秘密，侵害出让方合法权益的。</w:t>
      </w:r>
    </w:p>
    <w:p w14:paraId="0259E74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（三）意向受让方之间相互串通，影响公平竞争，侵害出让方合法权益的。</w:t>
      </w:r>
    </w:p>
    <w:p w14:paraId="4E0A80C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（四）意向受让方无故不推进交易或无故放弃受让的。</w:t>
      </w:r>
    </w:p>
    <w:p w14:paraId="03FA76E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（五）《农村产权转出申请书》中约定的交易保证金不予退还的其他情形。</w:t>
      </w:r>
    </w:p>
    <w:p w14:paraId="3AAF95D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（六）意向受让方恶意炒作、操纵</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场价格、出价严重偏离</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场价格等非正当手段扰乱</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场交易行为的。</w:t>
      </w:r>
    </w:p>
    <w:p w14:paraId="7D15305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交易保证金金额不足以弥补出让方、农交中心或委托经纪人、机构损失的，利益受损方可以向有过错的意向受让方进行追偿。</w:t>
      </w:r>
    </w:p>
    <w:p w14:paraId="30ECCA3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出让方发生违规违约行为，给意向受让方、农交中心和委托经纪人、机构造成损失的，应当以其设定的交易保证金金额承担赔偿责任。交易保证金金额不足以弥补因出让方违规违约造成的损失的，利益受损方可以向出让方进行追偿。</w:t>
      </w:r>
    </w:p>
    <w:p w14:paraId="0716211C">
      <w:pPr>
        <w:pStyle w:val="13"/>
        <w:shd w:val="clear" w:color="auto" w:fill="FFFFFF"/>
        <w:spacing w:beforeAutospacing="0" w:afterAutospacing="0" w:line="56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出让方与意向受让方就保证金的处置发生争议的，由农交中心按照产权交易</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场争议处置的相关规定处理；无法通过调解解决的，当事人可以向仲裁机构申请仲裁或向人民法院提起诉讼。</w:t>
      </w:r>
    </w:p>
    <w:p w14:paraId="43CCDC69">
      <w:pPr>
        <w:pStyle w:val="13"/>
        <w:shd w:val="clear" w:color="auto" w:fill="FFFFFF"/>
        <w:spacing w:beforeAutospacing="0" w:afterAutospacing="0" w:line="560" w:lineRule="exact"/>
        <w:ind w:firstLine="640" w:firstLineChars="200"/>
        <w:rPr>
          <w:rFonts w:hint="eastAsia" w:ascii="仿宋_GB2312" w:hAnsi="仿宋_GB2312" w:eastAsia="仿宋_GB2312" w:cs="仿宋_GB2312"/>
          <w:color w:val="333333"/>
          <w:sz w:val="32"/>
          <w:szCs w:val="32"/>
          <w:shd w:val="clear" w:color="auto" w:fill="FFFFFF"/>
        </w:rPr>
      </w:pPr>
    </w:p>
    <w:p w14:paraId="7700D814">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276" w:name="_Toc28221"/>
      <w:r>
        <w:rPr>
          <w:rStyle w:val="18"/>
          <w:rFonts w:hint="eastAsia" w:ascii="黑体" w:hAnsi="黑体" w:eastAsia="黑体" w:cs="黑体"/>
          <w:b w:val="0"/>
          <w:bCs/>
          <w:color w:val="333333"/>
          <w:sz w:val="32"/>
          <w:szCs w:val="32"/>
          <w:shd w:val="clear" w:color="auto" w:fill="FFFFFF"/>
        </w:rPr>
        <w:t>第四章 附 则</w:t>
      </w:r>
      <w:bookmarkEnd w:id="276"/>
    </w:p>
    <w:p w14:paraId="766E7E3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本规则解释权和修订权归石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07ECBCB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本规则自印发之日起执行。</w:t>
      </w:r>
    </w:p>
    <w:p w14:paraId="20100C3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sectPr>
          <w:pgSz w:w="11906" w:h="16838"/>
          <w:pgMar w:top="2098" w:right="1474" w:bottom="1984" w:left="1587" w:header="851" w:footer="992" w:gutter="0"/>
          <w:pgNumType w:fmt="numberInDash"/>
          <w:cols w:space="425" w:num="1"/>
          <w:docGrid w:type="lines" w:linePitch="312" w:charSpace="0"/>
        </w:sectPr>
      </w:pPr>
    </w:p>
    <w:p w14:paraId="4ACD5C40">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277" w:name="_Toc29718"/>
      <w:bookmarkStart w:id="278" w:name="_Toc19199"/>
      <w:bookmarkStart w:id="279" w:name="_Toc32006"/>
      <w:bookmarkStart w:id="280" w:name="_Toc13525"/>
      <w:bookmarkStart w:id="281" w:name="_Toc13417"/>
      <w:bookmarkStart w:id="282" w:name="_Toc27997"/>
      <w:bookmarkStart w:id="283" w:name="_Toc11507"/>
      <w:bookmarkStart w:id="284" w:name="_Toc13727"/>
      <w:bookmarkStart w:id="285" w:name="_Toc13757"/>
      <w:bookmarkStart w:id="286" w:name="_Toc20651"/>
      <w:bookmarkStart w:id="287" w:name="_Toc10013"/>
      <w:bookmarkStart w:id="288" w:name="_Toc8123"/>
      <w:bookmarkStart w:id="289" w:name="_Toc4507"/>
      <w:bookmarkStart w:id="290" w:name="_Toc7833"/>
      <w:bookmarkStart w:id="291" w:name="_Toc8402"/>
      <w:bookmarkStart w:id="292" w:name="_Toc3306"/>
      <w:bookmarkStart w:id="293" w:name="_Toc2687"/>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42E19022">
      <w:pPr>
        <w:pStyle w:val="13"/>
        <w:shd w:val="clear" w:color="auto" w:fill="FFFFFF"/>
        <w:spacing w:beforeAutospacing="0" w:afterAutospacing="0" w:line="560" w:lineRule="exact"/>
        <w:jc w:val="center"/>
        <w:outlineLvl w:val="0"/>
        <w:rPr>
          <w:rStyle w:val="18"/>
          <w:rFonts w:ascii="黑体" w:hAnsi="黑体" w:eastAsia="黑体" w:cs="黑体"/>
          <w:b w:val="0"/>
          <w:bCs/>
          <w:color w:val="333333"/>
          <w:sz w:val="32"/>
          <w:szCs w:val="32"/>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产权交易款项结算操作细则（试行）</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6263318E">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294" w:name="_Toc7386"/>
      <w:r>
        <w:rPr>
          <w:rStyle w:val="18"/>
          <w:rFonts w:hint="eastAsia" w:ascii="黑体" w:hAnsi="黑体" w:eastAsia="黑体" w:cs="黑体"/>
          <w:b w:val="0"/>
          <w:bCs/>
          <w:color w:val="333333"/>
          <w:sz w:val="32"/>
          <w:szCs w:val="32"/>
          <w:shd w:val="clear" w:color="auto" w:fill="FFFFFF"/>
        </w:rPr>
        <w:t>第一章 总 则</w:t>
      </w:r>
      <w:bookmarkEnd w:id="294"/>
    </w:p>
    <w:p w14:paraId="1271003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农村产权交易中心（以下简称“农交中心”）产权交易款项结算行为，保护产权交易各方的合法权益，根据《石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农村产权交易中心农村产权流转交易规则（试行）》的相关规定，制定本规则。</w:t>
      </w:r>
    </w:p>
    <w:p w14:paraId="1420DE9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本规则适用于在农交中心进行的各种产权交易款项结算的活动。法律、法规和规章另有规定的，从其规定。</w:t>
      </w:r>
    </w:p>
    <w:p w14:paraId="4C09418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产权交易款项结算，是指农交中心根据产权交易双方签署的产权交易合同和农交中心有关规定，对产权交易合同价款、交易保证金及交易服务费等款项进行结算、管理的行为。</w:t>
      </w:r>
    </w:p>
    <w:p w14:paraId="1A244BC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本规则中，产权交易合同价款（以下简称“合同价款”）是指受让方依据产权交易合同的约定通过农交中心向出让方支付用于受让转出标的的货币资金。</w:t>
      </w:r>
    </w:p>
    <w:p w14:paraId="7D7C332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本规则中，交易保证金是指意向受让方按产权转出公告的约定向农交中心交纳的用于保证意向受让方遵守交易规则，履行承诺的货币资金。</w:t>
      </w:r>
    </w:p>
    <w:p w14:paraId="20C2ACBE">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本规则中，交易服务费是指产权交易的主体双方按照农交中心的收费标准支付交易服务费的行为。</w:t>
      </w:r>
    </w:p>
    <w:p w14:paraId="6769C59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本规则中，产权交易款项仅指以货币资金结算的部分。</w:t>
      </w:r>
    </w:p>
    <w:p w14:paraId="5FCD55F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产权交易款项结算遵循集中、规范、守信的原则。</w:t>
      </w:r>
    </w:p>
    <w:p w14:paraId="6368D6F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在农交中心进行产权交易的各方一律以人民币进行产权交易款项结算。</w:t>
      </w:r>
    </w:p>
    <w:p w14:paraId="480B14C6">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rPr>
      </w:pPr>
      <w:r>
        <w:rPr>
          <w:rFonts w:hint="eastAsia" w:ascii="仿宋_GB2312" w:hAnsi="仿宋_GB2312" w:eastAsia="仿宋_GB2312" w:cs="仿宋_GB2312"/>
          <w:b/>
          <w:bCs/>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农交中心通过产权交易款项结算专用账户为产权交易款项提供结算服务。农交中心应当保证结算账户中交易资金的安全，不得挪作他用。</w:t>
      </w:r>
    </w:p>
    <w:p w14:paraId="6C28CA5E">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295" w:name="_Toc17534"/>
      <w:r>
        <w:rPr>
          <w:rStyle w:val="18"/>
          <w:rFonts w:hint="eastAsia" w:ascii="黑体" w:hAnsi="黑体" w:eastAsia="黑体" w:cs="黑体"/>
          <w:b w:val="0"/>
          <w:bCs/>
          <w:color w:val="333333"/>
          <w:sz w:val="32"/>
          <w:szCs w:val="32"/>
          <w:shd w:val="clear" w:color="auto" w:fill="FFFFFF"/>
        </w:rPr>
        <w:t>第二章 交易款项结算</w:t>
      </w:r>
      <w:bookmarkEnd w:id="295"/>
    </w:p>
    <w:p w14:paraId="73E85B3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交易双方可以约定合同价款通过农交中心进行结算。产权交易合同约定合同价款支付方式为一次性付款的，在农交中心进行全额合同价款结算；产权交易合同约定合同价款支付方式为分期付款的，在农交中心进行首付款结算。</w:t>
      </w:r>
    </w:p>
    <w:p w14:paraId="33FFB8D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合同价款结算的流程</w:t>
      </w:r>
    </w:p>
    <w:p w14:paraId="746255E2">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交易双方可以约定，受让方交易保证金可以转为合同价款，交易保证金不足以支付合同价款的，受让方应当在产权交易合同约定的期限内将不足部分交纳至产权交易合同价款结算专用账户，农交中心应向受让方出具收款凭证并通知出让方。</w:t>
      </w:r>
    </w:p>
    <w:p w14:paraId="7B85BA2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（二）出让方到农交中心办理合同价款划转，如委托经纪人、机构进行交易的，应会同经纪人、机构办理相关手续。交易双方对合同价款划转另有约定的，经农交中心审核通过后，可以从其约定。</w:t>
      </w:r>
    </w:p>
    <w:p w14:paraId="54428E1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（三）对符合合同价款划转条件的，农交中心在出让方要求办理合同价款划转手续的次日起三个工作日内办理；</w:t>
      </w:r>
    </w:p>
    <w:p w14:paraId="18518C7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合同价款收款方提供信息错误，导致支付有误的，由收款方承担相应责任。</w:t>
      </w:r>
    </w:p>
    <w:p w14:paraId="0B86FDC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产权交易双方对于合同价款支付和收取条件有变更的，应当制作补充协议，经农交中心审核后，方可按变更后的条件进行合同价款结算。</w:t>
      </w:r>
    </w:p>
    <w:p w14:paraId="54C2DD3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交易保证金结算按照农交中心制定的《石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农村产权交易中心交易保证金操作细则（试行）》规定进行。</w:t>
      </w:r>
    </w:p>
    <w:p w14:paraId="52AD4E9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交易服务费按照农交中心的收费标准收取。交易双方签署产权交易合同并经农交中心审核通过后，交易服务费结算按下列方式进行：</w:t>
      </w:r>
    </w:p>
    <w:p w14:paraId="5DADA96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（一）受让方应付的交易服务费从交易保证金中扣取或由受让方另行支付。</w:t>
      </w:r>
    </w:p>
    <w:p w14:paraId="6A48185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（二）出让方应付的交易服务费从合同价款中扣取或由出让方另行支付。</w:t>
      </w:r>
    </w:p>
    <w:p w14:paraId="6ADA0E6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交易双方应当按照农交中心的收费标准支付交易服务费，农交中心在收到交易服务费后，应当出具收费凭证。</w:t>
      </w:r>
    </w:p>
    <w:p w14:paraId="4A68697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产权交易款项支付控制在收到的限额内，农交中心不予垫付资金。</w:t>
      </w:r>
    </w:p>
    <w:p w14:paraId="22A34D28">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rPr>
      </w:pPr>
      <w:r>
        <w:rPr>
          <w:rFonts w:hint="eastAsia" w:ascii="仿宋_GB2312" w:hAnsi="仿宋_GB2312" w:eastAsia="仿宋_GB2312" w:cs="仿宋_GB2312"/>
          <w:b/>
          <w:bCs/>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产权交易款项实行无息结算。</w:t>
      </w:r>
    </w:p>
    <w:p w14:paraId="6DD3B738">
      <w:pPr>
        <w:pStyle w:val="13"/>
        <w:shd w:val="clear" w:color="auto" w:fill="FFFFFF"/>
        <w:spacing w:beforeAutospacing="0" w:afterAutospacing="0" w:line="560" w:lineRule="exact"/>
        <w:ind w:firstLine="640" w:firstLineChars="200"/>
        <w:jc w:val="center"/>
        <w:outlineLvl w:val="1"/>
        <w:rPr>
          <w:rFonts w:ascii="黑体" w:hAnsi="黑体" w:eastAsia="黑体" w:cs="黑体"/>
          <w:bCs/>
          <w:color w:val="333333"/>
          <w:sz w:val="32"/>
          <w:szCs w:val="32"/>
        </w:rPr>
      </w:pPr>
      <w:bookmarkStart w:id="296" w:name="_Toc13628"/>
      <w:r>
        <w:rPr>
          <w:rStyle w:val="18"/>
          <w:rFonts w:hint="eastAsia" w:ascii="黑体" w:hAnsi="黑体" w:eastAsia="黑体" w:cs="黑体"/>
          <w:b w:val="0"/>
          <w:bCs/>
          <w:color w:val="333333"/>
          <w:sz w:val="32"/>
          <w:szCs w:val="32"/>
          <w:shd w:val="clear" w:color="auto" w:fill="FFFFFF"/>
        </w:rPr>
        <w:t>第三章 附 则</w:t>
      </w:r>
      <w:bookmarkEnd w:id="296"/>
    </w:p>
    <w:p w14:paraId="6E28C85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本规则解释权和修订权归石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7D2913A2">
      <w:pPr>
        <w:pStyle w:val="13"/>
        <w:shd w:val="clear" w:color="auto" w:fill="FFFFFF"/>
        <w:spacing w:beforeAutospacing="0" w:afterAutospacing="0" w:line="560" w:lineRule="exact"/>
        <w:ind w:firstLine="643" w:firstLineChars="200"/>
        <w:sectPr>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b/>
          <w:bCs/>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本规则自印发之日起执行。</w:t>
      </w:r>
    </w:p>
    <w:p w14:paraId="389DDC31">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297" w:name="_Toc6404"/>
      <w:bookmarkStart w:id="298" w:name="_Toc5605"/>
      <w:bookmarkStart w:id="299" w:name="_Toc24073"/>
      <w:bookmarkStart w:id="300" w:name="_Toc31815"/>
      <w:bookmarkStart w:id="301" w:name="_Toc27658"/>
      <w:bookmarkStart w:id="302" w:name="_Toc31824"/>
      <w:bookmarkStart w:id="303" w:name="_Toc29293"/>
      <w:bookmarkStart w:id="304" w:name="_Toc27908"/>
      <w:bookmarkStart w:id="305" w:name="_Toc30519"/>
      <w:bookmarkStart w:id="306" w:name="_Toc6395"/>
      <w:bookmarkStart w:id="307" w:name="_Toc12992"/>
      <w:bookmarkStart w:id="308" w:name="_Toc9215"/>
      <w:bookmarkStart w:id="309" w:name="_Toc16920"/>
      <w:bookmarkStart w:id="310" w:name="_Toc16465"/>
      <w:bookmarkStart w:id="311" w:name="_Toc7853"/>
      <w:bookmarkStart w:id="312" w:name="_Toc758"/>
      <w:bookmarkStart w:id="313" w:name="_Toc16535"/>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10C654CB">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出具产权交易鉴证操作细则（试行）</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3DDF19D0">
      <w:pPr>
        <w:pStyle w:val="13"/>
        <w:shd w:val="clear" w:color="auto" w:fill="FFFFFF"/>
        <w:spacing w:beforeAutospacing="0" w:afterAutospacing="0" w:line="560" w:lineRule="exact"/>
        <w:jc w:val="center"/>
        <w:outlineLvl w:val="0"/>
        <w:rPr>
          <w:rStyle w:val="18"/>
          <w:rFonts w:hint="eastAsia" w:ascii="方正小标宋简体" w:hAnsi="方正小标宋简体" w:eastAsia="方正小标宋简体" w:cs="方正小标宋简体"/>
          <w:b w:val="0"/>
          <w:bCs/>
          <w:color w:val="333333"/>
          <w:sz w:val="44"/>
          <w:szCs w:val="44"/>
          <w:shd w:val="clear" w:color="auto" w:fill="FFFFFF"/>
        </w:rPr>
      </w:pPr>
    </w:p>
    <w:p w14:paraId="23AFA339">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314" w:name="_Toc29978"/>
      <w:r>
        <w:rPr>
          <w:rStyle w:val="18"/>
          <w:rFonts w:hint="eastAsia" w:ascii="黑体" w:hAnsi="黑体" w:eastAsia="黑体" w:cs="黑体"/>
          <w:b w:val="0"/>
          <w:bCs/>
          <w:color w:val="333333"/>
          <w:sz w:val="32"/>
          <w:szCs w:val="32"/>
          <w:shd w:val="clear" w:color="auto" w:fill="FFFFFF"/>
        </w:rPr>
        <w:t>第一章  总 则</w:t>
      </w:r>
      <w:bookmarkEnd w:id="314"/>
    </w:p>
    <w:p w14:paraId="2415936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农村产权交易中心（以下简称“农交中心”）出具农村产权交易鉴证的行为，根据《</w:t>
      </w:r>
      <w:r>
        <w:rPr>
          <w:rFonts w:hint="eastAsia" w:ascii="___WRD_EMBED_SUB_45" w:hAnsi="___WRD_EMBED_SUB_45" w:eastAsia="___WRD_EMBED_SUB_45" w:cs="___WRD_EMBED_SUB_45"/>
          <w:color w:val="333333"/>
          <w:sz w:val="32"/>
          <w:szCs w:val="32"/>
          <w:shd w:val="clear" w:color="auto" w:fill="FFFFFF"/>
        </w:rPr>
        <w:t>石门县</w:t>
      </w:r>
      <w:r>
        <w:rPr>
          <w:rFonts w:hint="eastAsia" w:ascii="仿宋_GB2312" w:hAnsi="仿宋_GB2312" w:eastAsia="仿宋_GB2312" w:cs="仿宋_GB2312"/>
          <w:color w:val="333333"/>
          <w:sz w:val="32"/>
          <w:szCs w:val="32"/>
          <w:shd w:val="clear" w:color="auto" w:fill="FFFFFF"/>
        </w:rPr>
        <w:t>农村产权交易中心农村产权流转交易规则（试行）》的相关规定，制定本规则。</w:t>
      </w:r>
    </w:p>
    <w:p w14:paraId="6AC3C9A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w:t>
      </w:r>
      <w:r>
        <w:rPr>
          <w:rFonts w:hint="eastAsia" w:ascii="仿宋_GB2312" w:hAnsi="仿宋_GB2312" w:eastAsia="仿宋_GB2312" w:cs="仿宋_GB2312"/>
          <w:color w:val="333333"/>
          <w:sz w:val="32"/>
          <w:szCs w:val="32"/>
          <w:shd w:val="clear" w:color="auto" w:fill="FFFFFF"/>
          <w:lang w:val="en-US" w:eastAsia="zh-CN"/>
        </w:rPr>
        <w:t>县</w:t>
      </w:r>
      <w:r>
        <w:rPr>
          <w:rFonts w:hint="eastAsia" w:ascii="仿宋_GB2312" w:hAnsi="仿宋_GB2312" w:eastAsia="仿宋_GB2312" w:cs="仿宋_GB2312"/>
          <w:color w:val="333333"/>
          <w:sz w:val="32"/>
          <w:szCs w:val="32"/>
          <w:shd w:val="clear" w:color="auto" w:fill="FFFFFF"/>
        </w:rPr>
        <w:t>农交中心进行的农村产权的受理转出申请活动，适用本规则。法律、法规和规章另有规定的，从其规定。</w:t>
      </w:r>
    </w:p>
    <w:p w14:paraId="741AF3B6">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315" w:name="_Toc6954"/>
      <w:r>
        <w:rPr>
          <w:rStyle w:val="18"/>
          <w:rFonts w:hint="eastAsia" w:ascii="黑体" w:hAnsi="黑体" w:eastAsia="黑体" w:cs="黑体"/>
          <w:b w:val="0"/>
          <w:bCs/>
          <w:color w:val="333333"/>
          <w:sz w:val="32"/>
          <w:szCs w:val="32"/>
          <w:shd w:val="clear" w:color="auto" w:fill="FFFFFF"/>
        </w:rPr>
        <w:t>第二章  鉴证流程</w:t>
      </w:r>
      <w:bookmarkEnd w:id="315"/>
    </w:p>
    <w:p w14:paraId="49047F3C">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产权交易双方签订产权交易合同，经农交中心审核通过，且受让方依据合同约定将合同价款交付至农交中心产权交易合同价款结算账户，交易双方支付交易服务费后，农交中心应在3个工作日内出具产权交易鉴证，并通知交易双方领取。</w:t>
      </w:r>
    </w:p>
    <w:p w14:paraId="4C91ECD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产权交易合同需经有关主管部门批准生效的，经有关主管部门批准后，农交中心应当根据批准情况出具产权交易鉴证。</w:t>
      </w:r>
    </w:p>
    <w:p w14:paraId="153828B0">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产权交易鉴证应当载明如下事项：项目编号、签约日期、出让方全称、受让方全称、标的全称、交易方式、成交金额、合同价款支付方式、备注等内容。</w:t>
      </w:r>
    </w:p>
    <w:p w14:paraId="267D91F9">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产权交易双方凭农村产权交易鉴证办理标的权属变更等手续。</w:t>
      </w:r>
    </w:p>
    <w:p w14:paraId="3A55D37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产权交易鉴证使用统一格式打印，手写或涂改无效。</w:t>
      </w:r>
    </w:p>
    <w:p w14:paraId="099EB6E1">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产权交易鉴证加盖农交中心业务印章方为有效。</w:t>
      </w:r>
    </w:p>
    <w:p w14:paraId="28DA9B20">
      <w:pPr>
        <w:pStyle w:val="13"/>
        <w:shd w:val="clear" w:color="auto" w:fill="FFFFFF"/>
        <w:spacing w:beforeAutospacing="0" w:afterAutospacing="0" w:line="560" w:lineRule="exact"/>
        <w:jc w:val="center"/>
        <w:outlineLvl w:val="1"/>
        <w:rPr>
          <w:rStyle w:val="18"/>
          <w:rFonts w:ascii="黑体" w:hAnsi="黑体" w:eastAsia="黑体" w:cs="黑体"/>
          <w:b w:val="0"/>
          <w:bCs/>
          <w:color w:val="333333"/>
          <w:sz w:val="32"/>
          <w:szCs w:val="32"/>
          <w:shd w:val="clear" w:color="auto" w:fill="FFFFFF"/>
        </w:rPr>
      </w:pPr>
      <w:bookmarkStart w:id="316" w:name="_Toc18480"/>
      <w:r>
        <w:rPr>
          <w:rStyle w:val="18"/>
          <w:rFonts w:hint="eastAsia" w:ascii="黑体" w:hAnsi="黑体" w:eastAsia="黑体" w:cs="黑体"/>
          <w:b w:val="0"/>
          <w:bCs/>
          <w:color w:val="333333"/>
          <w:sz w:val="32"/>
          <w:szCs w:val="32"/>
          <w:shd w:val="clear" w:color="auto" w:fill="FFFFFF"/>
        </w:rPr>
        <w:t>第三章  附 则</w:t>
      </w:r>
      <w:bookmarkEnd w:id="316"/>
    </w:p>
    <w:p w14:paraId="657DD5B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产权交易鉴证出具后，相关方提出产权交易双方在产权交易过程中存在主体不合法、程序不合规、提交虚假材料等违法、违规情形，经农交中心核实后，农交中心应当撤销该项目的产权交易鉴证并予以公示。</w:t>
      </w:r>
    </w:p>
    <w:p w14:paraId="277DBFE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农交中心不得对交易项目重复出具产权交易鉴证。</w:t>
      </w:r>
    </w:p>
    <w:p w14:paraId="1E38C223">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本规则解释权和修订权归石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027C86CB">
      <w:pPr>
        <w:pStyle w:val="13"/>
        <w:shd w:val="clear" w:color="auto" w:fill="FFFFFF"/>
        <w:spacing w:beforeAutospacing="0" w:afterAutospacing="0" w:line="560" w:lineRule="exact"/>
        <w:ind w:firstLine="643" w:firstLineChars="200"/>
        <w:rPr>
          <w:rFonts w:ascii="方正仿宋_GB2312" w:hAnsi="方正仿宋_GB2312" w:eastAsia="方正仿宋_GB2312" w:cs="方正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本规则自印发之日起执行。</w:t>
      </w:r>
    </w:p>
    <w:p w14:paraId="7E4BD78F">
      <w:pPr>
        <w:spacing w:line="560" w:lineRule="exact"/>
        <w:sectPr>
          <w:pgSz w:w="11906" w:h="16838"/>
          <w:pgMar w:top="2098" w:right="1474" w:bottom="1984" w:left="1587" w:header="851" w:footer="992" w:gutter="0"/>
          <w:pgNumType w:fmt="numberInDash"/>
          <w:cols w:space="425" w:num="1"/>
          <w:docGrid w:type="lines" w:linePitch="312" w:charSpace="0"/>
        </w:sectPr>
      </w:pPr>
    </w:p>
    <w:p w14:paraId="229059DD">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317" w:name="_Toc30426"/>
      <w:bookmarkStart w:id="318" w:name="_Toc110"/>
      <w:bookmarkStart w:id="319" w:name="_Toc15966"/>
      <w:bookmarkStart w:id="320" w:name="_Toc18166"/>
      <w:bookmarkStart w:id="321" w:name="_Toc25959"/>
      <w:bookmarkStart w:id="322" w:name="_Toc12424"/>
      <w:bookmarkStart w:id="323" w:name="_Toc21217"/>
      <w:bookmarkStart w:id="324" w:name="_Toc5972"/>
      <w:bookmarkStart w:id="325" w:name="_Toc19217"/>
      <w:bookmarkStart w:id="326" w:name="_Toc18557"/>
      <w:bookmarkStart w:id="327" w:name="_Toc18824"/>
      <w:bookmarkStart w:id="328" w:name="_Toc6914"/>
      <w:bookmarkStart w:id="329" w:name="_Toc21914"/>
      <w:bookmarkStart w:id="330" w:name="_Toc7636"/>
      <w:bookmarkStart w:id="331" w:name="_Toc14393"/>
      <w:bookmarkStart w:id="332" w:name="_Toc10127"/>
      <w:bookmarkStart w:id="333" w:name="_Toc24401"/>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68ED5E50">
      <w:pPr>
        <w:pStyle w:val="13"/>
        <w:shd w:val="clear" w:color="auto" w:fill="FFFFFF"/>
        <w:spacing w:beforeAutospacing="0" w:afterAutospacing="0" w:line="560" w:lineRule="exact"/>
        <w:jc w:val="center"/>
        <w:outlineLvl w:val="0"/>
        <w:rPr>
          <w:rStyle w:val="18"/>
          <w:rFonts w:ascii="黑体" w:hAnsi="黑体" w:eastAsia="黑体" w:cs="黑体"/>
          <w:b w:val="0"/>
          <w:bCs/>
          <w:color w:val="333333"/>
          <w:sz w:val="32"/>
          <w:szCs w:val="32"/>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交易项目中止和终结操作细则（试行）</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754815C6">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334" w:name="_Toc23321"/>
      <w:r>
        <w:rPr>
          <w:rStyle w:val="18"/>
          <w:rFonts w:hint="eastAsia" w:ascii="黑体" w:hAnsi="黑体" w:eastAsia="黑体" w:cs="黑体"/>
          <w:b w:val="0"/>
          <w:bCs/>
          <w:color w:val="333333"/>
          <w:sz w:val="32"/>
          <w:szCs w:val="32"/>
          <w:shd w:val="clear" w:color="auto" w:fill="FFFFFF"/>
        </w:rPr>
        <w:t>第一章 总 则</w:t>
      </w:r>
      <w:bookmarkEnd w:id="334"/>
    </w:p>
    <w:p w14:paraId="697850A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为规范石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农村产权交易中心（以下简称“农交中心”）的正常交易秩序，保障交易各方的合法权益，根据《石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农村产权交易中心农村产权流转交易规则（试行）》的相关规定，制定本规则。</w:t>
      </w:r>
    </w:p>
    <w:p w14:paraId="47BAFD1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在农交中心进行的产权交易项目的中止和终结（以下简称“中止”和“终结”），适用本规则。法律、法规和规章另有规定的，从其规定。</w:t>
      </w:r>
    </w:p>
    <w:p w14:paraId="6B8C672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本规则所称的中止，是指产权交易进程中，出现妨碍交易活动且严重影响交易按规定程序正常进行的情形，农交中心经调查核实后将该交易项目予以暂停的行为。</w:t>
      </w:r>
    </w:p>
    <w:p w14:paraId="045EDA9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本规则所称的终结，是指产权交易进程中，出现妨碍交易活动且严重影响交易按规定程序正常实施的情形，经调查核实并确认无法被消除时，农交中心将该交易项目予以终结的行为。</w:t>
      </w:r>
    </w:p>
    <w:p w14:paraId="45F4204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第四条</w:t>
      </w:r>
      <w:r>
        <w:rPr>
          <w:rFonts w:hint="eastAsia" w:ascii="仿宋_GB2312" w:hAnsi="仿宋_GB2312" w:eastAsia="仿宋_GB2312" w:cs="仿宋_GB2312"/>
          <w:color w:val="333333"/>
          <w:sz w:val="32"/>
          <w:szCs w:val="32"/>
          <w:shd w:val="clear" w:color="auto" w:fill="FFFFFF"/>
        </w:rPr>
        <w:t xml:space="preserve"> 产权交易机构可以依交易双方或相关主体申请中止、终结产权交易；交易双方或相关主体未提出申请，但农交中心认为有必要中止或终结产权交易的，也可以直接作出中止、终结决定。</w:t>
      </w:r>
    </w:p>
    <w:p w14:paraId="41872CB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第五条</w:t>
      </w:r>
      <w:r>
        <w:rPr>
          <w:rFonts w:hint="eastAsia" w:ascii="仿宋_GB2312" w:hAnsi="仿宋_GB2312" w:eastAsia="仿宋_GB2312" w:cs="仿宋_GB2312"/>
          <w:color w:val="333333"/>
          <w:sz w:val="32"/>
          <w:szCs w:val="32"/>
          <w:shd w:val="clear" w:color="auto" w:fill="FFFFFF"/>
        </w:rPr>
        <w:t xml:space="preserve"> 产权交易项目的中止和终结应当遵循诚实信用和公开、公平、公正的原则。</w:t>
      </w:r>
    </w:p>
    <w:p w14:paraId="79CA678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jc w:val="center"/>
        <w:textAlignment w:val="auto"/>
        <w:outlineLvl w:val="1"/>
        <w:rPr>
          <w:rStyle w:val="18"/>
          <w:rFonts w:ascii="黑体" w:hAnsi="黑体" w:eastAsia="黑体" w:cs="黑体"/>
          <w:b w:val="0"/>
          <w:bCs/>
          <w:color w:val="333333"/>
          <w:sz w:val="32"/>
          <w:szCs w:val="32"/>
          <w:shd w:val="clear" w:color="auto" w:fill="FFFFFF"/>
        </w:rPr>
      </w:pPr>
      <w:bookmarkStart w:id="335" w:name="_Toc9076"/>
      <w:r>
        <w:rPr>
          <w:rStyle w:val="18"/>
          <w:rFonts w:hint="eastAsia" w:ascii="黑体" w:hAnsi="黑体" w:eastAsia="黑体" w:cs="黑体"/>
          <w:b w:val="0"/>
          <w:bCs/>
          <w:color w:val="333333"/>
          <w:sz w:val="32"/>
          <w:szCs w:val="32"/>
          <w:shd w:val="clear" w:color="auto" w:fill="FFFFFF"/>
        </w:rPr>
        <w:t>第二章 项目的中止</w:t>
      </w:r>
      <w:bookmarkEnd w:id="335"/>
    </w:p>
    <w:p w14:paraId="64F28F1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第六条</w:t>
      </w:r>
      <w:r>
        <w:rPr>
          <w:rFonts w:hint="eastAsia" w:ascii="仿宋_GB2312" w:hAnsi="仿宋_GB2312" w:eastAsia="仿宋_GB2312" w:cs="仿宋_GB2312"/>
          <w:color w:val="333333"/>
          <w:sz w:val="32"/>
          <w:szCs w:val="32"/>
          <w:shd w:val="clear" w:color="auto" w:fill="FFFFFF"/>
        </w:rPr>
        <w:t xml:space="preserve"> 出现以下情形的，出让方、意向受让方或其他相关主体可以直接向农交中心提出中止申请，由农交中心审核后作出中止的决定；农交中心也可以根据下列情形直接作出中止的决定：</w:t>
      </w:r>
    </w:p>
    <w:p w14:paraId="486858A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（一）标的存在以下情形的：</w:t>
      </w:r>
    </w:p>
    <w:p w14:paraId="661E86D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1、标的权属不清或权属存在纠纷的。</w:t>
      </w:r>
    </w:p>
    <w:p w14:paraId="3C28B7F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2、标的或标的企业主要资产被查封、扣押、暂扣的。</w:t>
      </w:r>
    </w:p>
    <w:p w14:paraId="01260C8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3、标的企业隐匿资产，审计、评估结果失真或资产状况、财务状况、经营状况发生重大变化影响继续交易的。</w:t>
      </w:r>
    </w:p>
    <w:p w14:paraId="2BBB0DF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（二）交易过程中存在以下情形的：</w:t>
      </w:r>
    </w:p>
    <w:p w14:paraId="42140A7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1、出让方提交的转出申请材料和产权转出公告内容不一致，交易双方有较大争议的。</w:t>
      </w:r>
    </w:p>
    <w:p w14:paraId="15E3142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2、意向受让方或出让方在竞价过程中违反约定的竞价规则，扰乱竞价秩序的。</w:t>
      </w:r>
    </w:p>
    <w:p w14:paraId="4388B08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3、意向受让方在竞价中，恶意串通压低价格，可能造成资产流失的。</w:t>
      </w:r>
    </w:p>
    <w:p w14:paraId="6DE9D44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4、意向受让方弄虚作假，以他人名义参与竞价，扰乱竞价交易活动的正常秩序，损害国家利益、公共利益、集体利益或者他人合法权益的。</w:t>
      </w:r>
    </w:p>
    <w:p w14:paraId="3E81BDC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5、意向受让方对出让方、农交中心工作人员或其他相关人员采取施加影响、行贿等不正当竞争手段，影响竞价公正性的。</w:t>
      </w:r>
    </w:p>
    <w:p w14:paraId="125B2DD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6、意向受让方、出让方对农交中心要求其作为的事项不作为或违规作为的。</w:t>
      </w:r>
    </w:p>
    <w:p w14:paraId="4EF9D503">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7、出让方提出的交易条件和受让方资格条件中出现不正当的限制性要求，具有明确指向性或者违反公平竞争内容的。</w:t>
      </w:r>
    </w:p>
    <w:p w14:paraId="616DBA5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（三）出让方如需履行而未按规定履行相应的内部决策程序、职工安置方案的审议程序、债权债务的处置程序、出让批准程序等，擅自出让产权的。</w:t>
      </w:r>
    </w:p>
    <w:p w14:paraId="49937FAA">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（四）出让方的主体资格存在瑕疵或提供的材料虚假、失实或不完整的。</w:t>
      </w:r>
    </w:p>
    <w:p w14:paraId="3A957C9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（五）出让方、意向受让方或其他相关主体之间存在其他重大争议纠纷或严重影响交易的情况。</w:t>
      </w:r>
    </w:p>
    <w:p w14:paraId="13D992E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（六）行政主管部门、人民法院依法发出中止交易书面通知的，交易活动中止。</w:t>
      </w:r>
    </w:p>
    <w:p w14:paraId="1CE5B74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（七）法律、法规和规章规定的其他违规事项。</w:t>
      </w:r>
    </w:p>
    <w:p w14:paraId="33B424D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第七条</w:t>
      </w:r>
      <w:r>
        <w:rPr>
          <w:rFonts w:hint="eastAsia" w:ascii="仿宋_GB2312" w:hAnsi="仿宋_GB2312" w:eastAsia="仿宋_GB2312" w:cs="仿宋_GB2312"/>
          <w:color w:val="333333"/>
          <w:sz w:val="32"/>
          <w:szCs w:val="32"/>
          <w:shd w:val="clear" w:color="auto" w:fill="FFFFFF"/>
        </w:rPr>
        <w:t xml:space="preserve"> 经农交中心审核，交易过程中不存在第六条所述情形的，农交中心可以做出不予中止的决定。</w:t>
      </w:r>
    </w:p>
    <w:p w14:paraId="20F4FE2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第八条</w:t>
      </w:r>
      <w:r>
        <w:rPr>
          <w:rFonts w:hint="eastAsia" w:ascii="仿宋_GB2312" w:hAnsi="仿宋_GB2312" w:eastAsia="仿宋_GB2312" w:cs="仿宋_GB2312"/>
          <w:color w:val="333333"/>
          <w:sz w:val="32"/>
          <w:szCs w:val="32"/>
          <w:shd w:val="clear" w:color="auto" w:fill="FFFFFF"/>
        </w:rPr>
        <w:t xml:space="preserve"> 出让方、意向受让方或其他相关主体向农交中心提出中止申请，应当提供相应证明材料和事由说明，并对提交申请的内容和材料的真实性、完整性、合法性、有效性负责。</w:t>
      </w:r>
    </w:p>
    <w:p w14:paraId="71C6052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提交申请的主体应当对申请材料的真实性、完整性、合法性、有效性进行核实，就中止申请的提出和处理向出让方、意向受让方或其他相关主体提供符合本规则的服务。</w:t>
      </w:r>
    </w:p>
    <w:p w14:paraId="54C0F98B">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第九条</w:t>
      </w:r>
      <w:r>
        <w:rPr>
          <w:rFonts w:hint="eastAsia" w:ascii="仿宋_GB2312" w:hAnsi="仿宋_GB2312" w:eastAsia="仿宋_GB2312" w:cs="仿宋_GB2312"/>
          <w:color w:val="333333"/>
          <w:sz w:val="32"/>
          <w:szCs w:val="32"/>
          <w:shd w:val="clear" w:color="auto" w:fill="FFFFFF"/>
        </w:rPr>
        <w:t xml:space="preserve"> 农交中心在收到中止申请后，应对申请材料进行审核，并在收到申请后决定是否受理。</w:t>
      </w:r>
    </w:p>
    <w:p w14:paraId="0A3228E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农交中心受理中止申请后，应当做出交易中止或不予中止的决定。</w:t>
      </w:r>
    </w:p>
    <w:p w14:paraId="4157225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作出中止决定的，应当出具中止通知书，确定中止期限，并在农交中心网站上进行公告；作出不予中止决定的，农交中心应向申请人书面说明不予中止的理由。</w:t>
      </w:r>
    </w:p>
    <w:p w14:paraId="46CD654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交易项目中止，自中止决定作出之日起执行。</w:t>
      </w:r>
    </w:p>
    <w:p w14:paraId="50B44B4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第十一条</w:t>
      </w:r>
      <w:r>
        <w:rPr>
          <w:rFonts w:hint="eastAsia" w:ascii="仿宋_GB2312" w:hAnsi="仿宋_GB2312" w:eastAsia="仿宋_GB2312" w:cs="仿宋_GB2312"/>
          <w:color w:val="333333"/>
          <w:sz w:val="32"/>
          <w:szCs w:val="32"/>
          <w:shd w:val="clear" w:color="auto" w:fill="FFFFFF"/>
        </w:rPr>
        <w:t xml:space="preserve"> 产权交易项目的中止期限一般不超过30天。中止期满后，农交中心可以根据申请人的要求延长中止期限。</w:t>
      </w:r>
    </w:p>
    <w:p w14:paraId="2FB9033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第十二条</w:t>
      </w:r>
      <w:r>
        <w:rPr>
          <w:rFonts w:hint="eastAsia" w:ascii="仿宋_GB2312" w:hAnsi="仿宋_GB2312" w:eastAsia="仿宋_GB2312" w:cs="仿宋_GB2312"/>
          <w:color w:val="333333"/>
          <w:sz w:val="32"/>
          <w:szCs w:val="32"/>
          <w:shd w:val="clear" w:color="auto" w:fill="FFFFFF"/>
        </w:rPr>
        <w:t xml:space="preserve"> 交易项目中止期间，农交中心应尽快对中止事项进行调查核实。农交中心也可以转请相关部门对违规事实的真实性进行核实，出让方、意向受让方或其他相关主体提出请求或者反对对方请求的，应当提供证明材料。</w:t>
      </w:r>
    </w:p>
    <w:p w14:paraId="67BD2AB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农交中心在中止期限内，可以依据有关规定和调查核实情况，做出要求限期改正、取消转出或受让资格、扣除交易保证金等书面决定。</w:t>
      </w:r>
    </w:p>
    <w:p w14:paraId="5F1BE71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导致交易活动不能按规定程序正常进行的情形消除后，农交中心应当尽快恢复交易，并出具书面意见。</w:t>
      </w:r>
    </w:p>
    <w:p w14:paraId="4C7C99C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jc w:val="center"/>
        <w:textAlignment w:val="auto"/>
        <w:outlineLvl w:val="1"/>
        <w:rPr>
          <w:rFonts w:ascii="方正仿宋_GB2312" w:hAnsi="方正仿宋_GB2312" w:eastAsia="方正仿宋_GB2312" w:cs="方正仿宋_GB2312"/>
          <w:bCs/>
          <w:color w:val="333333"/>
          <w:sz w:val="32"/>
          <w:szCs w:val="32"/>
        </w:rPr>
      </w:pPr>
      <w:bookmarkStart w:id="336" w:name="_Toc22981"/>
      <w:r>
        <w:rPr>
          <w:rStyle w:val="18"/>
          <w:rFonts w:hint="eastAsia" w:ascii="黑体" w:hAnsi="黑体" w:eastAsia="黑体" w:cs="黑体"/>
          <w:b w:val="0"/>
          <w:bCs/>
          <w:color w:val="333333"/>
          <w:sz w:val="32"/>
          <w:szCs w:val="32"/>
          <w:shd w:val="clear" w:color="auto" w:fill="FFFFFF"/>
        </w:rPr>
        <w:t>第三章 项目的终结</w:t>
      </w:r>
      <w:bookmarkEnd w:id="336"/>
    </w:p>
    <w:p w14:paraId="6323FA8C">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第十四条</w:t>
      </w:r>
      <w:r>
        <w:rPr>
          <w:rFonts w:hint="eastAsia" w:ascii="仿宋_GB2312" w:hAnsi="仿宋_GB2312" w:eastAsia="仿宋_GB2312" w:cs="仿宋_GB2312"/>
          <w:color w:val="333333"/>
          <w:sz w:val="32"/>
          <w:szCs w:val="32"/>
          <w:shd w:val="clear" w:color="auto" w:fill="FFFFFF"/>
        </w:rPr>
        <w:t xml:space="preserve"> 出现以下情形的，出让方、意向受让方或其他相关主体可以直接向农交中心提出终结申请，由农交中心审核后作出终结的决定。农交中心也可以根据以下情形直接作出终结的决定：</w:t>
      </w:r>
    </w:p>
    <w:p w14:paraId="764FC0D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（一）出让方、意向受让方或其他相关主体在中止期限届满后仍未能消除中止情形的。</w:t>
      </w:r>
    </w:p>
    <w:p w14:paraId="6CA6259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（二）标的因不可抗力毁损、灭失的。</w:t>
      </w:r>
    </w:p>
    <w:p w14:paraId="3CFBF25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（三）标的企业解散、被吊销营业执照或依法被注销的。</w:t>
      </w:r>
    </w:p>
    <w:p w14:paraId="288C8BCF">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（四）出让方或受让方解散，或依法被注销的。</w:t>
      </w:r>
    </w:p>
    <w:p w14:paraId="32DC5160">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（五）出让方或意向受让方为自然人，丧失民事行为能力或死亡的。</w:t>
      </w:r>
    </w:p>
    <w:p w14:paraId="492AAD2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（六）意向受让方、受让方或出让方无故不推进产权交易进程，经农交中心催办仍不作为的。</w:t>
      </w:r>
    </w:p>
    <w:p w14:paraId="0541DD3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（七）行政主管部门、人民法院依法发出终结交易书面通知的。</w:t>
      </w:r>
    </w:p>
    <w:p w14:paraId="4ACFEF87">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（八）法律、法规和规章规定的其他终结情形。</w:t>
      </w:r>
    </w:p>
    <w:p w14:paraId="2624ED81">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第十五条</w:t>
      </w:r>
      <w:r>
        <w:rPr>
          <w:rFonts w:hint="eastAsia" w:ascii="仿宋_GB2312" w:hAnsi="仿宋_GB2312" w:eastAsia="仿宋_GB2312" w:cs="仿宋_GB2312"/>
          <w:color w:val="333333"/>
          <w:sz w:val="32"/>
          <w:szCs w:val="32"/>
          <w:shd w:val="clear" w:color="auto" w:fill="FFFFFF"/>
        </w:rPr>
        <w:t xml:space="preserve"> 经农交中心审核，交易过程中不存在第十四条所述情形的，农交中心可以做出不予终结的决定。</w:t>
      </w:r>
    </w:p>
    <w:p w14:paraId="71B8311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出让方、意向受让方或其他相关主体向农交中心提交终结申请，应当提供相关证明材料和事由说明，并对提交申请的内容和材料的真实性、完整性、合法性、有效性负责。</w:t>
      </w:r>
    </w:p>
    <w:p w14:paraId="423F7D1E">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提交申请的主体应当对申请材料的真实性、完整性、合法性、有效性进行核实，就终结申请的提出和处理向出让方、意向受让方或其他相关主体提供符合本规则的服务。</w:t>
      </w:r>
    </w:p>
    <w:p w14:paraId="18AFD239">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农交中心在收到终结申请后，应对申请材料进行审核，并在收到申请后决定是否受理。</w:t>
      </w:r>
    </w:p>
    <w:p w14:paraId="2C20A4E2">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第十八条</w:t>
      </w:r>
      <w:r>
        <w:rPr>
          <w:rFonts w:hint="eastAsia" w:ascii="仿宋_GB2312" w:hAnsi="仿宋_GB2312" w:eastAsia="仿宋_GB2312" w:cs="仿宋_GB2312"/>
          <w:color w:val="333333"/>
          <w:sz w:val="32"/>
          <w:szCs w:val="32"/>
          <w:shd w:val="clear" w:color="auto" w:fill="FFFFFF"/>
        </w:rPr>
        <w:t xml:space="preserve"> 农交中心受理终结申请后，应当作出终结或不予终结的决定。</w:t>
      </w:r>
    </w:p>
    <w:p w14:paraId="7B62333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作出终结决定的，应当出具终结通知书，并在农交中心网站上进行公告；作出不予终结决定的，农交中心应向申请人书面说明不予终结的理由。</w:t>
      </w:r>
    </w:p>
    <w:p w14:paraId="015398E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方正仿宋_GB2312" w:hAnsi="方正仿宋_GB2312" w:eastAsia="方正仿宋_GB2312" w:cs="方正仿宋_GB2312"/>
          <w:color w:val="333333"/>
          <w:sz w:val="32"/>
          <w:szCs w:val="32"/>
        </w:rPr>
      </w:pPr>
      <w:r>
        <w:rPr>
          <w:rFonts w:hint="eastAsia" w:ascii="仿宋_GB2312" w:hAnsi="仿宋_GB2312" w:eastAsia="仿宋_GB2312" w:cs="仿宋_GB2312"/>
          <w:color w:val="333333"/>
          <w:sz w:val="32"/>
          <w:szCs w:val="32"/>
          <w:shd w:val="clear" w:color="auto" w:fill="FFFFFF"/>
        </w:rPr>
        <w:t>交易项目终结，自终结决定作出之日起执行。</w:t>
      </w:r>
    </w:p>
    <w:p w14:paraId="7F1D9A2D">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jc w:val="center"/>
        <w:textAlignment w:val="auto"/>
        <w:outlineLvl w:val="1"/>
        <w:rPr>
          <w:rFonts w:ascii="黑体" w:hAnsi="黑体" w:eastAsia="黑体" w:cs="黑体"/>
          <w:bCs/>
          <w:color w:val="333333"/>
          <w:sz w:val="32"/>
          <w:szCs w:val="32"/>
        </w:rPr>
      </w:pPr>
      <w:bookmarkStart w:id="337" w:name="_Toc9626"/>
      <w:r>
        <w:rPr>
          <w:rStyle w:val="18"/>
          <w:rFonts w:hint="eastAsia" w:ascii="黑体" w:hAnsi="黑体" w:eastAsia="黑体" w:cs="黑体"/>
          <w:b w:val="0"/>
          <w:bCs/>
          <w:color w:val="333333"/>
          <w:sz w:val="32"/>
          <w:szCs w:val="32"/>
          <w:shd w:val="clear" w:color="auto" w:fill="FFFFFF"/>
        </w:rPr>
        <w:t>第四章 法律责任</w:t>
      </w:r>
      <w:bookmarkEnd w:id="337"/>
    </w:p>
    <w:p w14:paraId="2DB09C66">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因出让方、意向受让方或其他相关主体违规违约造成交易项目中止或终结的，相关责任方应向农交中心承担违规违约责任，并赔偿农交中心损失。</w:t>
      </w:r>
    </w:p>
    <w:p w14:paraId="6B6CB138">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因出让方、意向受让方或其他相关主体违规违约造成交易相对方损失的，由有过错的一方承担损害赔偿责任；如果双方都有过错的，按照过错大小分别承担责任。</w:t>
      </w:r>
    </w:p>
    <w:p w14:paraId="43D7AC14">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textAlignment w:val="auto"/>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shd w:val="clear" w:color="auto" w:fill="FFFFFF"/>
        </w:rPr>
        <w:t>农交中心工作人员在交易过程中串通交易主体扰乱交易秩序，违反交易规则，侵害国家利益、公共利益、集体利益和他人合法权益，谋取不正当利益的；出现应中止或终结的交易项目未予以中止或终结的，以及存在其他不作为情形的，由农交中心依照本规则中止或终结交易项目，并对相关工作人员予以处分。</w:t>
      </w:r>
    </w:p>
    <w:p w14:paraId="43F1431F">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0" w:firstLineChars="200"/>
        <w:jc w:val="center"/>
        <w:textAlignment w:val="auto"/>
        <w:outlineLvl w:val="1"/>
        <w:rPr>
          <w:rFonts w:ascii="黑体" w:hAnsi="黑体" w:eastAsia="黑体" w:cs="黑体"/>
          <w:bCs/>
          <w:color w:val="333333"/>
          <w:sz w:val="32"/>
          <w:szCs w:val="32"/>
        </w:rPr>
      </w:pPr>
      <w:bookmarkStart w:id="338" w:name="_Toc24305"/>
      <w:r>
        <w:rPr>
          <w:rStyle w:val="18"/>
          <w:rFonts w:hint="eastAsia" w:ascii="黑体" w:hAnsi="黑体" w:eastAsia="黑体" w:cs="黑体"/>
          <w:b w:val="0"/>
          <w:bCs/>
          <w:color w:val="333333"/>
          <w:sz w:val="32"/>
          <w:szCs w:val="32"/>
          <w:shd w:val="clear" w:color="auto" w:fill="FFFFFF"/>
        </w:rPr>
        <w:t>第五章 附 则</w:t>
      </w:r>
      <w:bookmarkEnd w:id="338"/>
    </w:p>
    <w:p w14:paraId="19A8DD85">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本规则解释权和修订权归石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7E47084F">
      <w:pPr>
        <w:pStyle w:val="13"/>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20" w:lineRule="exact"/>
        <w:ind w:firstLine="643" w:firstLineChars="200"/>
        <w:textAlignment w:val="auto"/>
        <w:rPr>
          <w:rFonts w:ascii="仿宋_GB2312" w:hAnsi="仿宋_GB2312" w:eastAsia="仿宋_GB2312" w:cs="仿宋_GB2312"/>
          <w:color w:val="333333"/>
          <w:sz w:val="27"/>
          <w:szCs w:val="27"/>
        </w:rPr>
      </w:pPr>
      <w:r>
        <w:rPr>
          <w:rStyle w:val="18"/>
          <w:rFonts w:hint="eastAsia" w:ascii="仿宋_GB2312" w:hAnsi="仿宋_GB2312" w:eastAsia="仿宋_GB2312" w:cs="仿宋_GB2312"/>
          <w:color w:val="333333"/>
          <w:sz w:val="32"/>
          <w:szCs w:val="32"/>
          <w:shd w:val="clear" w:color="auto" w:fill="FFFFFF"/>
        </w:rPr>
        <w:t>第二十一条</w:t>
      </w:r>
      <w:r>
        <w:rPr>
          <w:rFonts w:hint="eastAsia" w:ascii="仿宋_GB2312" w:hAnsi="仿宋_GB2312" w:eastAsia="仿宋_GB2312" w:cs="仿宋_GB2312"/>
          <w:color w:val="333333"/>
          <w:sz w:val="32"/>
          <w:szCs w:val="32"/>
          <w:shd w:val="clear" w:color="auto" w:fill="FFFFFF"/>
        </w:rPr>
        <w:t xml:space="preserve"> 本规则自印发之日起执行。</w:t>
      </w:r>
    </w:p>
    <w:p w14:paraId="0616CC78">
      <w:pPr>
        <w:spacing w:line="560" w:lineRule="exact"/>
        <w:sectPr>
          <w:pgSz w:w="11906" w:h="16838"/>
          <w:pgMar w:top="2098" w:right="1474" w:bottom="1984" w:left="1587" w:header="851" w:footer="992" w:gutter="0"/>
          <w:pgNumType w:fmt="numberInDash"/>
          <w:cols w:space="425" w:num="1"/>
          <w:docGrid w:type="lines" w:linePitch="312" w:charSpace="0"/>
        </w:sectPr>
      </w:pPr>
    </w:p>
    <w:p w14:paraId="3B1D22D0">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339" w:name="_Toc9289"/>
      <w:bookmarkStart w:id="340" w:name="_Toc16957"/>
      <w:bookmarkStart w:id="341" w:name="_Toc4035"/>
      <w:bookmarkStart w:id="342" w:name="_Toc9095"/>
      <w:bookmarkStart w:id="343" w:name="_Toc9347"/>
      <w:bookmarkStart w:id="344" w:name="_Toc19489"/>
      <w:bookmarkStart w:id="345" w:name="_Toc32083"/>
      <w:bookmarkStart w:id="346" w:name="_Toc21349"/>
      <w:bookmarkStart w:id="347" w:name="_Toc32124"/>
      <w:bookmarkStart w:id="348" w:name="_Toc934"/>
      <w:bookmarkStart w:id="349" w:name="_Toc28387"/>
      <w:bookmarkStart w:id="350" w:name="_Toc24793"/>
      <w:bookmarkStart w:id="351" w:name="_Toc5885"/>
      <w:bookmarkStart w:id="352" w:name="_Toc22955"/>
      <w:bookmarkStart w:id="353" w:name="_Toc14989"/>
      <w:bookmarkStart w:id="354" w:name="_Toc7988"/>
      <w:bookmarkStart w:id="355" w:name="_Toc32475"/>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67CD6013">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优先受让权行使操作细则（试行）</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4CEBA2ED"/>
    <w:p w14:paraId="06D638C4">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第一条</w:t>
      </w:r>
      <w:r>
        <w:rPr>
          <w:rFonts w:hint="eastAsia" w:ascii="仿宋" w:hAnsi="仿宋" w:eastAsia="仿宋"/>
          <w:sz w:val="32"/>
          <w:szCs w:val="32"/>
        </w:rPr>
        <w:t xml:space="preserve"> 为维护在石门县农村产权交易中心（以下简称“农交中心”）进行交易的各方合法权益，规范农村产权流转交易中行使优先受让权的行为，根据《中华人民共和国民法典》等法律法规，制定本规则。</w:t>
      </w:r>
    </w:p>
    <w:p w14:paraId="634C626F">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第二条</w:t>
      </w:r>
      <w:r>
        <w:rPr>
          <w:rFonts w:hint="eastAsia" w:ascii="仿宋" w:hAnsi="仿宋" w:eastAsia="仿宋"/>
          <w:sz w:val="32"/>
          <w:szCs w:val="32"/>
        </w:rPr>
        <w:t xml:space="preserve"> 在农村产权流转交易中，依法律规定或合同约定涉及行使优先受让权的，适用本规则。</w:t>
      </w:r>
    </w:p>
    <w:p w14:paraId="0469351D">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第三条</w:t>
      </w:r>
      <w:r>
        <w:rPr>
          <w:rFonts w:hint="eastAsia" w:ascii="仿宋" w:hAnsi="仿宋" w:eastAsia="仿宋"/>
          <w:sz w:val="32"/>
          <w:szCs w:val="32"/>
        </w:rPr>
        <w:t xml:space="preserve"> 本规则相关用语的定义：</w:t>
      </w:r>
    </w:p>
    <w:p w14:paraId="53274584">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（一）“普通意向方”，指除不放弃行使优先受让权的意向受让方之外的其他意向受让方；</w:t>
      </w:r>
    </w:p>
    <w:p w14:paraId="24A2CAB2">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（二）“优先权人”，指依法律规定或合同约定而享有的，在价格以及其他交易条件同等的前提下，优先受让农村产权的意向受让方；</w:t>
      </w:r>
    </w:p>
    <w:p w14:paraId="1446DE2A">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（三）“优先受让权”（以下简称“优先权”），指依法律规定或合同约定而享有的，在价格以及其他交易条件同等的前提下，相关主体可优先受让农村产权的权利；</w:t>
      </w:r>
    </w:p>
    <w:p w14:paraId="7DC5C061">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（四）“场内行权”，指根据信息披露要求，优先权人向农交中心提出受让申请、交纳交易保证金，并在同等条件下行使优先受让权的行为；</w:t>
      </w:r>
    </w:p>
    <w:p w14:paraId="26724240">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五）“场外行权”，指在信息披露期内未向农交中心提出受让申请，或未按公告约定交纳交易保证金的优先权人，就普通意向方形成的最终价格以及其他交易条件，在出让方通知要求的时间内以书面形式表示行使优先权的行为。</w:t>
      </w:r>
    </w:p>
    <w:p w14:paraId="08645237">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第四条</w:t>
      </w:r>
      <w:r>
        <w:rPr>
          <w:rFonts w:hint="eastAsia" w:ascii="仿宋" w:hAnsi="仿宋" w:eastAsia="仿宋"/>
          <w:sz w:val="32"/>
          <w:szCs w:val="32"/>
        </w:rPr>
        <w:t xml:space="preserve"> 出让方在递交转让申请前，应按法律规定或合同约定以书面形式通知、征询优先权人意见，内容至少包括：</w:t>
      </w:r>
    </w:p>
    <w:p w14:paraId="0BB2CDF8">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（一）优先权人是否放弃行使优先权；</w:t>
      </w:r>
    </w:p>
    <w:p w14:paraId="6594493B">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（二）优先权人不放弃优先权的，应按照本规则行权并及时关注农交中心官网，查阅项目公告信息。</w:t>
      </w:r>
    </w:p>
    <w:p w14:paraId="04CA47BC">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 xml:space="preserve">第五条 </w:t>
      </w:r>
      <w:r>
        <w:rPr>
          <w:rFonts w:hint="eastAsia" w:ascii="仿宋" w:hAnsi="仿宋" w:eastAsia="仿宋"/>
          <w:sz w:val="32"/>
          <w:szCs w:val="32"/>
        </w:rPr>
        <w:t>出让方在递交转出申请时，应就如下事项做出书面承诺：</w:t>
      </w:r>
    </w:p>
    <w:p w14:paraId="5F2EAEF8">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（一）表示已经就农村产权流转事项履行了通知、征询优先权人的义务；</w:t>
      </w:r>
    </w:p>
    <w:p w14:paraId="1CFB385D">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（二）表示将在转让信息披露公告发布之日起的2个工作日内就公告期限、行权方式及后果等事项通知优先权人；</w:t>
      </w:r>
    </w:p>
    <w:p w14:paraId="6CADFA36">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（三）愿意遵守法律法规及农交中心相关交易规则，并承担未尽通知义务造成的法律后果； </w:t>
      </w:r>
    </w:p>
    <w:p w14:paraId="6964CCD2">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第六条</w:t>
      </w:r>
      <w:r>
        <w:rPr>
          <w:rFonts w:hint="eastAsia" w:ascii="仿宋" w:hAnsi="仿宋" w:eastAsia="仿宋"/>
          <w:sz w:val="32"/>
          <w:szCs w:val="32"/>
        </w:rPr>
        <w:t xml:space="preserve"> 信息披露期满，只征集到场内行权的优先权人且不存在场外行权的优先权人时，按下列情形处理：</w:t>
      </w:r>
    </w:p>
    <w:p w14:paraId="5B128102">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（一）若只征集到一个场内行权的优先权人，则该优先权人将作为最终受让方与出让方按照农交中心相关规定履行成交手续；</w:t>
      </w:r>
    </w:p>
    <w:p w14:paraId="6FEC1911">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二）若征集到两个或两个以上场内行权的优先权人，出让方与场内行权的优先权人对受让比例有约定的，按照约定确定各自受让比例；无约定的，由场内行权的优先权人采取协商方式确定各自受让比例；协商不成的，按照征集到的场内行权的优先权人人头数平均分配；</w:t>
      </w:r>
    </w:p>
    <w:p w14:paraId="4F8A9E3B">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 xml:space="preserve">第七条 </w:t>
      </w:r>
      <w:r>
        <w:rPr>
          <w:rFonts w:hint="eastAsia" w:ascii="仿宋" w:hAnsi="仿宋" w:eastAsia="仿宋"/>
          <w:sz w:val="32"/>
          <w:szCs w:val="32"/>
        </w:rPr>
        <w:t>信息披露期满，同时征集到场内行权的优先权人和普通意向方且不存在场外行权的优先权人时，则按下列情形处理：</w:t>
      </w:r>
    </w:p>
    <w:p w14:paraId="13E51D6B">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一）只产生一个普通意向方，且只有一个场内行权的优先权人的，可由该普通意向方在转让底价的基础上，再进行一次报价，该报价即为最终价格。场内行权的优先权人，就最终价格在同等条件下当场表态是否行使优先权，场内行权的优先权人表示行权的即为成交受让方；场内行权的优先权人当场未表态的，视为放弃优先受让权，普通意向方即为成交受让方；</w:t>
      </w:r>
    </w:p>
    <w:p w14:paraId="57A65F7F">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二）产生两个或两个以上普通意向方，且只有一个场内行权的优先权人的，则由普通意向方按照信息披露公告确定的竞价方式进行竞价，在竞价结束后，最高报价人还有一次报出最高价的权利，并以此作为最终价格。场内行权的优先权人，就最终价格在同等条件下当场表态是否行使优先权，场内行权的优先权人表示行权的即为成交受让方；场内行权的优先权人当场未表态的，视为放弃优先受让权，最高报价的普通意向方即为成交受让方；</w:t>
      </w:r>
    </w:p>
    <w:p w14:paraId="24AA6BDF">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三）在上述（一）、（二）项所述情形中，由普通意向方产生最终价格后，有两个或两个以上场内行权的优先权人的，出让方与场内行权的优先权人对受让比例有约定的，按照约定确定各自受让比例；无约定的，由场内行权的优先权人采取协商方式确定各自受让比例；协商不成的，按照征集到的场内行权的优先权人人头数平均分配；</w:t>
      </w:r>
    </w:p>
    <w:p w14:paraId="38F91098">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（四）场内行权的优先权人表示放弃行权或逾期未行权的，视为放弃优先受让权，按照本规则第八条继续办理。</w:t>
      </w:r>
    </w:p>
    <w:p w14:paraId="45FE751B">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第八条</w:t>
      </w:r>
      <w:r>
        <w:rPr>
          <w:rFonts w:hint="eastAsia" w:ascii="仿宋" w:hAnsi="仿宋" w:eastAsia="仿宋"/>
          <w:sz w:val="32"/>
          <w:szCs w:val="32"/>
        </w:rPr>
        <w:t xml:space="preserve"> 信息披露期满后，只征集到普通意向方，或者虽征集到场内行权的优先权人，但其放弃行权或逾期未行权的，且存在场外行权的优先权人，出让方应在已确定的最终价格产生后的3个工作日内，以书面形式向场外行权的优先权人征询其是否行权，并告知最终价格，场外行权的优先权人均表示放弃行权或逾期未按通知要求行权的，则产生最终价格的普通意向方成为受让方。</w:t>
      </w:r>
    </w:p>
    <w:p w14:paraId="4DDF5723">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如场外行权的优先权人表示行权的，按下列情形处理： </w:t>
      </w:r>
    </w:p>
    <w:p w14:paraId="0C1EBAC0">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 xml:space="preserve">（一）只有一个场外行权的优先权人表示行权，该场外行权的优先权人即成为最终受让方； </w:t>
      </w:r>
    </w:p>
    <w:p w14:paraId="11EF13D8">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二）有两个或两个以上场外行权的优先权人表示行权的，出让方与场外行权的优先权人对受让比例有约定的，按照约定确定各自受让比例；无约定的，由场外行权的优先权人采取协商方式确定各自受让比例；协商不成的，按照场外行权的优先权人人头数平均分配；</w:t>
      </w:r>
    </w:p>
    <w:p w14:paraId="1BD912DF">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第九条</w:t>
      </w:r>
      <w:r>
        <w:rPr>
          <w:rFonts w:hint="eastAsia" w:ascii="仿宋" w:hAnsi="仿宋" w:eastAsia="仿宋"/>
          <w:sz w:val="32"/>
          <w:szCs w:val="32"/>
        </w:rPr>
        <w:t xml:space="preserve"> 信息披露期满，只征集到场内行权的优先权人且存在场外行权的优先权人时，场内行权的优先权人及场外行权的优先权人均不放弃行使优先权的，以转让底价作为最终价格。出让方与场内行权及场外行权的优先权人对受让比例有约定的，按照约定确定各自受让比例；无约定的，由场内行权及场外行权的优先权人采取协商方式确定各自受让比例；协商不成的，按照征集到的场内行权及场外行权的优先权人人头数平均分配；</w:t>
      </w:r>
    </w:p>
    <w:p w14:paraId="71B5C0D6">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第十条</w:t>
      </w:r>
      <w:r>
        <w:rPr>
          <w:rFonts w:hint="eastAsia" w:ascii="仿宋" w:hAnsi="仿宋" w:eastAsia="仿宋"/>
          <w:sz w:val="32"/>
          <w:szCs w:val="32"/>
        </w:rPr>
        <w:t xml:space="preserve"> 信息披露期满，同时征集到场内行权的优先权人和普通意向方及存在场外行权的优先权人，且场内行权的优先权人和场外行权的优先权人均不放弃行使优先权时，由普通意向方产生最终价格。出让方与场内行权及场外行权的优先权人对受让比例有约定的，按照约定确定各自受让比例；无约定的，由场内行权及场外行权的优先权人采取协商方式确定各自受让比例；协商不成的，按照征集到的场内行权及场外行权的优先权人人头数平均分配；</w:t>
      </w:r>
    </w:p>
    <w:p w14:paraId="64B3CB0D">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第十一条</w:t>
      </w:r>
      <w:r>
        <w:rPr>
          <w:rFonts w:hint="eastAsia" w:ascii="仿宋" w:hAnsi="仿宋" w:eastAsia="仿宋"/>
          <w:sz w:val="32"/>
          <w:szCs w:val="32"/>
        </w:rPr>
        <w:t xml:space="preserve"> 出让方要求优先权人只能以场内行权方式行使优先权的，应当取得所有未放弃优先受让权的优先权人的同意，或者向农交中心就其要求优先权人只能在场内行权做出自愿承担相应法律责任的书面承诺。</w:t>
      </w:r>
    </w:p>
    <w:p w14:paraId="60818E8F">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第十二条</w:t>
      </w:r>
      <w:r>
        <w:rPr>
          <w:rFonts w:hint="eastAsia" w:ascii="仿宋" w:hAnsi="仿宋" w:eastAsia="仿宋"/>
          <w:sz w:val="32"/>
          <w:szCs w:val="32"/>
        </w:rPr>
        <w:t xml:space="preserve"> 采用拍卖或法律规定的其他方式的，参照有关规定执行。</w:t>
      </w:r>
    </w:p>
    <w:p w14:paraId="6546DFCF">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第十三条</w:t>
      </w:r>
      <w:r>
        <w:rPr>
          <w:rFonts w:hint="eastAsia" w:ascii="仿宋" w:hAnsi="仿宋" w:eastAsia="仿宋"/>
          <w:sz w:val="32"/>
          <w:szCs w:val="32"/>
        </w:rPr>
        <w:t xml:space="preserve"> 出让方将存在优先受让权的农村产权与不存在优先受让权的农村产权进行捆绑流转时，优先权人主张行使优先受让权的，应一并受让；优先权人与普通意向方组成联合体参与受让的，该联合体不享有优先受让权。</w:t>
      </w:r>
    </w:p>
    <w:p w14:paraId="6B04FC90">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第十四条</w:t>
      </w:r>
      <w:r>
        <w:rPr>
          <w:rFonts w:hint="eastAsia" w:ascii="仿宋" w:hAnsi="仿宋" w:eastAsia="仿宋"/>
          <w:sz w:val="32"/>
          <w:szCs w:val="32"/>
        </w:rPr>
        <w:t xml:space="preserve"> 优先权人知悉农村产权流转事宜，但未表示放弃优先受让权的，视为不放弃，出让方须向其征询行权事宜。</w:t>
      </w:r>
    </w:p>
    <w:p w14:paraId="3959FD86">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 xml:space="preserve">第十五条 </w:t>
      </w:r>
      <w:r>
        <w:rPr>
          <w:rFonts w:hint="eastAsia" w:ascii="仿宋" w:hAnsi="仿宋" w:eastAsia="仿宋"/>
          <w:sz w:val="32"/>
          <w:szCs w:val="32"/>
        </w:rPr>
        <w:t>出让方应将征询优先权人是否行使优先受让权的书面文件及送达证据提交农交中心备查。</w:t>
      </w:r>
    </w:p>
    <w:p w14:paraId="4C5FD605">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第十六条</w:t>
      </w:r>
      <w:r>
        <w:rPr>
          <w:rFonts w:hint="eastAsia" w:ascii="仿宋" w:hAnsi="仿宋" w:eastAsia="仿宋"/>
          <w:sz w:val="32"/>
          <w:szCs w:val="32"/>
        </w:rPr>
        <w:t xml:space="preserve"> 涉及特殊情形的，须经各方协商一致，并将相关材料提交农交中心备查。</w:t>
      </w:r>
    </w:p>
    <w:p w14:paraId="13A25D94">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第十七条</w:t>
      </w:r>
      <w:r>
        <w:rPr>
          <w:rFonts w:hint="eastAsia" w:ascii="仿宋" w:hAnsi="仿宋" w:eastAsia="仿宋"/>
          <w:sz w:val="32"/>
          <w:szCs w:val="32"/>
        </w:rPr>
        <w:t xml:space="preserve"> 法律规定或合同约定对优先权人行权有规定的，可按其规定并参照本规则执行。</w:t>
      </w:r>
    </w:p>
    <w:p w14:paraId="56ECAF7C">
      <w:pPr>
        <w:autoSpaceDN w:val="0"/>
        <w:spacing w:line="580" w:lineRule="exact"/>
        <w:ind w:firstLine="640" w:firstLineChars="200"/>
        <w:rPr>
          <w:rFonts w:ascii="仿宋" w:hAnsi="仿宋" w:eastAsia="仿宋"/>
          <w:sz w:val="32"/>
          <w:szCs w:val="32"/>
        </w:rPr>
      </w:pPr>
      <w:r>
        <w:rPr>
          <w:rFonts w:hint="eastAsia" w:ascii="仿宋" w:hAnsi="仿宋" w:eastAsia="仿宋"/>
          <w:sz w:val="32"/>
          <w:szCs w:val="32"/>
        </w:rPr>
        <w:t>本规则适用于农交中心各类交易项目，各类交易项目规则对优先权人行权有规定的，按照其规定执行，无相关规定的，应参照本规则执行。</w:t>
      </w:r>
    </w:p>
    <w:p w14:paraId="51151524">
      <w:pPr>
        <w:autoSpaceDN w:val="0"/>
        <w:spacing w:line="580" w:lineRule="exact"/>
        <w:ind w:firstLine="640" w:firstLineChars="200"/>
        <w:rPr>
          <w:rFonts w:ascii="仿宋" w:hAnsi="仿宋" w:eastAsia="仿宋"/>
          <w:sz w:val="32"/>
          <w:szCs w:val="32"/>
        </w:rPr>
      </w:pPr>
      <w:r>
        <w:rPr>
          <w:rFonts w:hint="eastAsia" w:ascii="黑体" w:hAnsi="黑体" w:eastAsia="黑体"/>
          <w:bCs/>
          <w:sz w:val="32"/>
          <w:szCs w:val="32"/>
        </w:rPr>
        <w:t>第十八条</w:t>
      </w:r>
      <w:r>
        <w:rPr>
          <w:rFonts w:hint="eastAsia" w:ascii="仿宋" w:hAnsi="仿宋" w:eastAsia="仿宋"/>
          <w:sz w:val="32"/>
          <w:szCs w:val="32"/>
        </w:rPr>
        <w:t xml:space="preserve"> 本规则的解释权和修订权归石门县农村产权交易中心。</w:t>
      </w:r>
    </w:p>
    <w:p w14:paraId="30D8F1E7">
      <w:pPr>
        <w:autoSpaceDN w:val="0"/>
        <w:spacing w:line="580" w:lineRule="exact"/>
        <w:ind w:firstLine="640" w:firstLineChars="200"/>
      </w:pPr>
      <w:r>
        <w:rPr>
          <w:rFonts w:hint="eastAsia" w:ascii="黑体" w:hAnsi="黑体" w:eastAsia="黑体"/>
          <w:bCs/>
          <w:sz w:val="32"/>
          <w:szCs w:val="32"/>
        </w:rPr>
        <w:t>第十九条</w:t>
      </w:r>
      <w:r>
        <w:rPr>
          <w:rFonts w:hint="eastAsia" w:ascii="仿宋" w:hAnsi="仿宋" w:eastAsia="仿宋"/>
          <w:sz w:val="32"/>
          <w:szCs w:val="32"/>
        </w:rPr>
        <w:t xml:space="preserve"> 本规则自发布之日起试行。</w:t>
      </w:r>
    </w:p>
    <w:p w14:paraId="0DC4ED02"/>
    <w:p w14:paraId="7524931C">
      <w:pPr>
        <w:rPr>
          <w:rFonts w:ascii="Times New Roman" w:hAnsi="Times New Roman" w:eastAsia="仿宋_GB2312" w:cs="Times New Roman"/>
          <w:b/>
          <w:bCs/>
          <w:sz w:val="32"/>
          <w:szCs w:val="32"/>
        </w:rPr>
      </w:pPr>
      <w:bookmarkStart w:id="356" w:name="_Toc5074"/>
      <w:bookmarkStart w:id="357" w:name="_Toc29163"/>
      <w:bookmarkStart w:id="358" w:name="_Toc20193"/>
      <w:bookmarkStart w:id="359" w:name="_Toc18664"/>
      <w:bookmarkStart w:id="360" w:name="_Toc6574"/>
      <w:bookmarkStart w:id="361" w:name="_Toc13163"/>
      <w:bookmarkStart w:id="362" w:name="_Toc27772"/>
      <w:bookmarkStart w:id="363" w:name="_Toc31549"/>
      <w:bookmarkStart w:id="364" w:name="_Toc25062"/>
      <w:bookmarkStart w:id="365" w:name="_Toc431"/>
      <w:bookmarkStart w:id="366" w:name="_Toc1033"/>
      <w:bookmarkStart w:id="367" w:name="_Toc14293"/>
      <w:bookmarkStart w:id="368" w:name="_Toc30575"/>
      <w:bookmarkStart w:id="369" w:name="_Toc12437"/>
      <w:bookmarkStart w:id="370" w:name="_Toc24648"/>
      <w:bookmarkStart w:id="371" w:name="_Toc4899"/>
      <w:bookmarkStart w:id="372" w:name="_Toc31318"/>
      <w:r>
        <w:rPr>
          <w:rStyle w:val="18"/>
          <w:rFonts w:hint="eastAsia" w:ascii="方正小标宋简体" w:hAnsi="方正小标宋简体" w:eastAsia="方正小标宋简体" w:cs="方正小标宋简体"/>
          <w:b w:val="0"/>
          <w:bCs/>
          <w:color w:val="333333"/>
          <w:sz w:val="44"/>
          <w:szCs w:val="44"/>
          <w:shd w:val="clear" w:color="auto" w:fill="FFFFFF"/>
        </w:rPr>
        <w:br w:type="page"/>
      </w:r>
    </w:p>
    <w:p w14:paraId="172C8F1D">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237AFB6B">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收费管理办法（试行）</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400BEDF8">
      <w:pPr>
        <w:topLinePunct/>
        <w:autoSpaceDE w:val="0"/>
        <w:autoSpaceDN w:val="0"/>
        <w:adjustRightInd w:val="0"/>
        <w:snapToGrid w:val="0"/>
        <w:spacing w:line="560" w:lineRule="exact"/>
        <w:ind w:firstLine="640" w:firstLineChars="200"/>
        <w:jc w:val="left"/>
        <w:textAlignment w:val="baseline"/>
        <w:rPr>
          <w:rFonts w:ascii="Times New Roman" w:hAnsi="Times New Roman" w:eastAsia="仿宋_GB2312" w:cs="Times New Roman"/>
          <w:sz w:val="32"/>
          <w:szCs w:val="32"/>
        </w:rPr>
      </w:pPr>
    </w:p>
    <w:p w14:paraId="24B5227B">
      <w:pPr>
        <w:topLinePunct/>
        <w:autoSpaceDE w:val="0"/>
        <w:autoSpaceDN w:val="0"/>
        <w:adjustRightInd w:val="0"/>
        <w:snapToGrid w:val="0"/>
        <w:spacing w:line="560" w:lineRule="exact"/>
        <w:ind w:firstLine="640" w:firstLineChars="200"/>
        <w:jc w:val="left"/>
        <w:textAlignment w:val="baseline"/>
        <w:rPr>
          <w:rFonts w:ascii="Times New Roman" w:hAnsi="Times New Roman" w:eastAsia="仿宋_GB2312" w:cs="Times New Roman"/>
          <w:sz w:val="32"/>
          <w:szCs w:val="32"/>
        </w:rPr>
      </w:pPr>
      <w:r>
        <w:rPr>
          <w:rFonts w:ascii="Times New Roman" w:hAnsi="Times New Roman" w:eastAsia="仿宋_GB2312" w:cs="Times New Roman"/>
          <w:sz w:val="32"/>
          <w:szCs w:val="32"/>
        </w:rPr>
        <w:t>为规范</w:t>
      </w:r>
      <w:r>
        <w:rPr>
          <w:rFonts w:hint="eastAsia" w:ascii="Times New Roman" w:hAnsi="Times New Roman" w:eastAsia="仿宋_GB2312" w:cs="Times New Roman"/>
          <w:sz w:val="32"/>
          <w:szCs w:val="32"/>
        </w:rPr>
        <w:t>石门县</w:t>
      </w:r>
      <w:r>
        <w:rPr>
          <w:rFonts w:ascii="Times New Roman" w:hAnsi="Times New Roman" w:eastAsia="仿宋_GB2312" w:cs="Times New Roman"/>
          <w:sz w:val="32"/>
          <w:szCs w:val="32"/>
        </w:rPr>
        <w:t>农村产权交易中心（以下简称“农交中心”）服务收费行为，建立规范有序的</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场竞争秩序，促进农村产权交易的公开、公平、公正，维护交易各方的权益，确保农交中心正常运转，根据《国家发展改革委关于进一步清理规范政府定价经营服务性收费的通知》（发改价格〔2019〕798号）和</w:t>
      </w:r>
      <w:r>
        <w:rPr>
          <w:rFonts w:hint="eastAsia" w:ascii="Times New Roman" w:hAnsi="Times New Roman" w:eastAsia="仿宋_GB2312" w:cs="Times New Roman"/>
          <w:sz w:val="32"/>
          <w:szCs w:val="32"/>
        </w:rPr>
        <w:t>石</w:t>
      </w:r>
      <w:r>
        <w:rPr>
          <w:rFonts w:hint="eastAsia" w:ascii="___WRD_EMBED_SUB_45" w:hAnsi="___WRD_EMBED_SUB_45" w:eastAsia="___WRD_EMBED_SUB_45" w:cs="___WRD_EMBED_SUB_45"/>
          <w:sz w:val="32"/>
          <w:szCs w:val="32"/>
        </w:rPr>
        <w:t>门县</w:t>
      </w:r>
      <w:r>
        <w:rPr>
          <w:rFonts w:ascii="Times New Roman" w:hAnsi="Times New Roman" w:eastAsia="仿宋_GB2312" w:cs="Times New Roman"/>
          <w:sz w:val="32"/>
          <w:szCs w:val="32"/>
        </w:rPr>
        <w:t>有关农村产权交易政策规定，结合农交中心实际，制定本办法。</w:t>
      </w:r>
    </w:p>
    <w:p w14:paraId="53F884ED">
      <w:pPr>
        <w:topLinePunct/>
        <w:autoSpaceDE w:val="0"/>
        <w:autoSpaceDN w:val="0"/>
        <w:adjustRightInd w:val="0"/>
        <w:snapToGrid w:val="0"/>
        <w:spacing w:line="560" w:lineRule="exact"/>
        <w:ind w:firstLine="643" w:firstLineChars="200"/>
        <w:jc w:val="left"/>
        <w:textAlignment w:val="baseline"/>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第一条</w:t>
      </w:r>
      <w:r>
        <w:rPr>
          <w:rFonts w:hint="eastAsia" w:ascii="Times New Roman" w:hAnsi="Times New Roman" w:eastAsia="仿宋_GB2312" w:cs="Times New Roman"/>
          <w:sz w:val="32"/>
          <w:szCs w:val="32"/>
        </w:rPr>
        <w:t xml:space="preserve">  本办法所称交易服务费是指农交中心为各类产权交易提供场所和设施、项目推介、洽谈撮合、受让登记、交易组织、资金结算等服务而向交易主体收取的费用，包括但不限于交易服务费、咨询费、公告费、增值服务费和报名费等。</w:t>
      </w:r>
    </w:p>
    <w:p w14:paraId="00105371">
      <w:pPr>
        <w:topLinePunct/>
        <w:autoSpaceDE w:val="0"/>
        <w:autoSpaceDN w:val="0"/>
        <w:adjustRightInd w:val="0"/>
        <w:snapToGrid w:val="0"/>
        <w:spacing w:line="560" w:lineRule="exact"/>
        <w:ind w:firstLine="643" w:firstLineChars="200"/>
        <w:textAlignment w:val="baseline"/>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第二条</w:t>
      </w:r>
      <w:r>
        <w:rPr>
          <w:rFonts w:hint="eastAsia" w:ascii="Times New Roman" w:hAnsi="Times New Roman" w:eastAsia="仿宋_GB2312" w:cs="Times New Roman"/>
          <w:sz w:val="32"/>
          <w:szCs w:val="32"/>
        </w:rPr>
        <w:t xml:space="preserve">  交易双方应当按照农交中心公布的收费项目和收费标准或与农交中心签订的委托合同、项目公告约定的收取方式向农交中心支付费用。</w:t>
      </w:r>
    </w:p>
    <w:p w14:paraId="0D5DB347">
      <w:pPr>
        <w:pStyle w:val="14"/>
        <w:topLinePunct/>
        <w:spacing w:line="560" w:lineRule="exact"/>
        <w:ind w:left="0" w:leftChars="0" w:firstLine="643"/>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第三条</w:t>
      </w:r>
      <w:r>
        <w:rPr>
          <w:rFonts w:hint="eastAsia" w:ascii="黑体" w:hAnsi="黑体" w:eastAsia="黑体" w:cs="黑体"/>
          <w:sz w:val="32"/>
          <w:szCs w:val="32"/>
        </w:rPr>
        <w:t xml:space="preserve">  </w:t>
      </w:r>
      <w:r>
        <w:rPr>
          <w:rFonts w:hint="eastAsia" w:ascii="Times New Roman" w:hAnsi="Times New Roman" w:eastAsia="仿宋_GB2312" w:cs="Times New Roman"/>
          <w:sz w:val="32"/>
          <w:szCs w:val="32"/>
        </w:rPr>
        <w:t>交易服务费以人民币结算。在交易过程中产生的其他必要费用，应由涉及该费用的相关方协商确定。</w:t>
      </w:r>
    </w:p>
    <w:p w14:paraId="5EB35820">
      <w:pPr>
        <w:pStyle w:val="14"/>
        <w:topLinePunct/>
        <w:spacing w:line="560" w:lineRule="exact"/>
        <w:ind w:left="0" w:leftChars="0" w:firstLine="643"/>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第四条</w:t>
      </w:r>
      <w:r>
        <w:rPr>
          <w:rFonts w:hint="eastAsia" w:ascii="黑体" w:hAnsi="黑体" w:eastAsia="黑体" w:cs="黑体"/>
          <w:sz w:val="32"/>
          <w:szCs w:val="32"/>
        </w:rPr>
        <w:t xml:space="preserve">  </w:t>
      </w:r>
      <w:r>
        <w:rPr>
          <w:rFonts w:hint="eastAsia" w:ascii="Times New Roman" w:hAnsi="Times New Roman" w:eastAsia="仿宋_GB2312" w:cs="Times New Roman"/>
          <w:sz w:val="32"/>
          <w:szCs w:val="32"/>
        </w:rPr>
        <w:t>交易服务费的支付可以从交易保证金中支付，也可另行支付。</w:t>
      </w:r>
    </w:p>
    <w:p w14:paraId="2148A700">
      <w:pPr>
        <w:topLinePunct/>
        <w:spacing w:line="560"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第五条</w:t>
      </w:r>
      <w:r>
        <w:rPr>
          <w:rFonts w:hint="eastAsia" w:ascii="黑体" w:hAnsi="黑体" w:eastAsia="黑体" w:cs="黑体"/>
          <w:sz w:val="32"/>
          <w:szCs w:val="32"/>
        </w:rPr>
        <w:t xml:space="preserve">  </w:t>
      </w:r>
      <w:r>
        <w:rPr>
          <w:rFonts w:hint="eastAsia" w:ascii="Times New Roman" w:hAnsi="Times New Roman" w:eastAsia="仿宋_GB2312" w:cs="Times New Roman"/>
          <w:sz w:val="32"/>
          <w:szCs w:val="32"/>
        </w:rPr>
        <w:t>收费范围。根据石</w:t>
      </w:r>
      <w:r>
        <w:rPr>
          <w:rFonts w:hint="eastAsia" w:ascii="___WRD_EMBED_SUB_45" w:hAnsi="___WRD_EMBED_SUB_45" w:eastAsia="___WRD_EMBED_SUB_45" w:cs="___WRD_EMBED_SUB_45"/>
          <w:sz w:val="32"/>
          <w:szCs w:val="32"/>
        </w:rPr>
        <w:t>门县</w:t>
      </w:r>
      <w:r>
        <w:rPr>
          <w:rFonts w:hint="eastAsia" w:ascii="Times New Roman" w:hAnsi="Times New Roman" w:eastAsia="仿宋_GB2312" w:cs="Times New Roman"/>
          <w:sz w:val="32"/>
          <w:szCs w:val="32"/>
        </w:rPr>
        <w:t>人民政府办公室关于印发《石</w:t>
      </w:r>
      <w:r>
        <w:rPr>
          <w:rFonts w:hint="eastAsia" w:ascii="___WRD_EMBED_SUB_45" w:hAnsi="___WRD_EMBED_SUB_45" w:eastAsia="___WRD_EMBED_SUB_45" w:cs="___WRD_EMBED_SUB_45"/>
          <w:sz w:val="32"/>
          <w:szCs w:val="32"/>
        </w:rPr>
        <w:t>门县</w:t>
      </w:r>
      <w:r>
        <w:rPr>
          <w:rFonts w:hint="eastAsia" w:ascii="Times New Roman" w:hAnsi="Times New Roman" w:eastAsia="仿宋_GB2312" w:cs="Times New Roman"/>
          <w:sz w:val="32"/>
          <w:szCs w:val="32"/>
        </w:rPr>
        <w:t>农村产权流转交易</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场建设实施方案的通知》（常政办函〔2024〕27号）文件规定，法律、法规和政策没有限制的品种均可以入</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流转交易，现阶段流转交易品种主要包括：农村承包土地经营权、林权、“四荒”使用权、农村集体资源性资产经营权、农村集体经营性资产、农业生产设施设备、小型水利设施使用权、农业类知识产权、其他涉农产权（包括农村闲置宅基地使用权和闲置住宅，国有农牧渔场、农业产业化企业、集体及个人投资兴办的企业等，供销合作社系统的涉农产权、资产处置等，农村建设项目、货物和服务、产业项目等涉农产权）。</w:t>
      </w:r>
    </w:p>
    <w:p w14:paraId="7B3B776C">
      <w:pPr>
        <w:ind w:firstLine="643" w:firstLineChars="200"/>
      </w:pPr>
      <w:r>
        <w:rPr>
          <w:rFonts w:hint="eastAsia" w:ascii="仿宋_GB2312" w:hAnsi="仿宋_GB2312" w:eastAsia="仿宋_GB2312" w:cs="仿宋_GB2312"/>
          <w:b/>
          <w:bCs/>
          <w:kern w:val="0"/>
          <w:sz w:val="32"/>
          <w:szCs w:val="32"/>
          <w:lang w:bidi="ar"/>
        </w:rPr>
        <w:t xml:space="preserve">第六条 </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交易服务费采取双向收费。以交易成交金额为基数，采用分档递减累加方式计算，向成交的出让方、受让方双向收取，具体标准如下：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9"/>
        <w:gridCol w:w="2400"/>
        <w:gridCol w:w="2173"/>
      </w:tblGrid>
      <w:tr w14:paraId="288E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156" w:type="dxa"/>
            <w:shd w:val="clear" w:color="auto" w:fill="E7E6E6" w:themeFill="background2"/>
            <w:vAlign w:val="center"/>
          </w:tcPr>
          <w:p w14:paraId="336174EE">
            <w:pPr>
              <w:jc w:val="center"/>
              <w:rPr>
                <w:rFonts w:ascii="楷体" w:hAnsi="楷体" w:eastAsia="楷体" w:cs="楷体"/>
                <w:b/>
                <w:bCs/>
                <w:sz w:val="24"/>
              </w:rPr>
            </w:pPr>
            <w:r>
              <w:rPr>
                <w:rFonts w:hint="eastAsia" w:ascii="楷体" w:hAnsi="楷体" w:eastAsia="楷体" w:cs="楷体"/>
                <w:b/>
                <w:bCs/>
                <w:sz w:val="24"/>
              </w:rPr>
              <w:t>成交金额（万元）</w:t>
            </w:r>
          </w:p>
        </w:tc>
        <w:tc>
          <w:tcPr>
            <w:tcW w:w="2500" w:type="dxa"/>
            <w:shd w:val="clear" w:color="auto" w:fill="E7E6E6" w:themeFill="background2"/>
            <w:vAlign w:val="center"/>
          </w:tcPr>
          <w:p w14:paraId="3CCF8A54">
            <w:pPr>
              <w:jc w:val="center"/>
              <w:rPr>
                <w:rFonts w:ascii="楷体" w:hAnsi="楷体" w:eastAsia="楷体" w:cs="楷体"/>
                <w:b/>
                <w:bCs/>
                <w:sz w:val="24"/>
              </w:rPr>
            </w:pPr>
            <w:r>
              <w:rPr>
                <w:rFonts w:hint="eastAsia" w:ascii="楷体" w:hAnsi="楷体" w:eastAsia="楷体" w:cs="楷体"/>
                <w:b/>
                <w:bCs/>
                <w:sz w:val="24"/>
              </w:rPr>
              <w:t>分档计费率（%）</w:t>
            </w:r>
          </w:p>
        </w:tc>
        <w:tc>
          <w:tcPr>
            <w:tcW w:w="2244" w:type="dxa"/>
            <w:shd w:val="clear" w:color="auto" w:fill="E7E6E6" w:themeFill="background2"/>
            <w:vAlign w:val="center"/>
          </w:tcPr>
          <w:p w14:paraId="00FA9761">
            <w:pPr>
              <w:jc w:val="center"/>
              <w:rPr>
                <w:rFonts w:ascii="楷体" w:hAnsi="楷体" w:eastAsia="楷体" w:cs="楷体"/>
                <w:b/>
                <w:bCs/>
                <w:sz w:val="24"/>
              </w:rPr>
            </w:pPr>
            <w:r>
              <w:rPr>
                <w:rFonts w:hint="eastAsia" w:ascii="楷体" w:hAnsi="楷体" w:eastAsia="楷体" w:cs="楷体"/>
                <w:b/>
                <w:bCs/>
                <w:sz w:val="24"/>
              </w:rPr>
              <w:t>备注</w:t>
            </w:r>
          </w:p>
        </w:tc>
      </w:tr>
      <w:tr w14:paraId="7E96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156" w:type="dxa"/>
            <w:vAlign w:val="center"/>
          </w:tcPr>
          <w:p w14:paraId="6DF15BFF">
            <w:pPr>
              <w:jc w:val="center"/>
              <w:rPr>
                <w:rFonts w:ascii="楷体" w:hAnsi="楷体" w:eastAsia="楷体" w:cs="楷体"/>
                <w:sz w:val="24"/>
              </w:rPr>
            </w:pPr>
            <w:r>
              <w:rPr>
                <w:rFonts w:hint="eastAsia" w:ascii="楷体" w:hAnsi="楷体" w:eastAsia="楷体" w:cs="楷体"/>
                <w:sz w:val="24"/>
              </w:rPr>
              <w:t>不超过10（含）的部分</w:t>
            </w:r>
          </w:p>
        </w:tc>
        <w:tc>
          <w:tcPr>
            <w:tcW w:w="2500" w:type="dxa"/>
            <w:vAlign w:val="center"/>
          </w:tcPr>
          <w:p w14:paraId="5F633876">
            <w:pPr>
              <w:jc w:val="center"/>
              <w:rPr>
                <w:rFonts w:ascii="楷体" w:hAnsi="楷体" w:eastAsia="楷体" w:cs="楷体"/>
                <w:sz w:val="24"/>
              </w:rPr>
            </w:pPr>
            <w:bookmarkStart w:id="373" w:name="OLE_LINK2"/>
            <w:r>
              <w:rPr>
                <w:rFonts w:hint="eastAsia" w:ascii="楷体" w:hAnsi="楷体" w:eastAsia="楷体" w:cs="楷体"/>
                <w:sz w:val="24"/>
              </w:rPr>
              <w:t>双方各</w:t>
            </w:r>
            <w:bookmarkEnd w:id="373"/>
            <w:r>
              <w:rPr>
                <w:rFonts w:hint="eastAsia" w:ascii="楷体" w:hAnsi="楷体" w:eastAsia="楷体" w:cs="楷体"/>
                <w:sz w:val="24"/>
              </w:rPr>
              <w:t>1.2</w:t>
            </w:r>
          </w:p>
        </w:tc>
        <w:tc>
          <w:tcPr>
            <w:tcW w:w="2244" w:type="dxa"/>
            <w:vMerge w:val="restart"/>
            <w:vAlign w:val="center"/>
          </w:tcPr>
          <w:p w14:paraId="7C7A01F9">
            <w:pPr>
              <w:jc w:val="left"/>
              <w:rPr>
                <w:rFonts w:ascii="楷体" w:hAnsi="楷体" w:eastAsia="楷体" w:cs="楷体"/>
                <w:sz w:val="24"/>
              </w:rPr>
            </w:pPr>
            <w:r>
              <w:rPr>
                <w:rFonts w:hint="eastAsia" w:ascii="楷体" w:hAnsi="楷体" w:eastAsia="楷体" w:cs="楷体"/>
                <w:sz w:val="24"/>
              </w:rPr>
              <w:t>1、每笔交易最低收费标准为500元（低于500元按500元计）。</w:t>
            </w:r>
          </w:p>
          <w:p w14:paraId="6FAA9801">
            <w:pPr>
              <w:jc w:val="left"/>
              <w:rPr>
                <w:rFonts w:ascii="楷体" w:hAnsi="楷体" w:eastAsia="楷体" w:cs="楷体"/>
                <w:sz w:val="24"/>
              </w:rPr>
            </w:pPr>
            <w:r>
              <w:rPr>
                <w:rFonts w:hint="eastAsia" w:ascii="楷体" w:hAnsi="楷体" w:eastAsia="楷体" w:cs="楷体"/>
                <w:sz w:val="24"/>
              </w:rPr>
              <w:t>2、出让方为农户个人或村集体，免收出让方该项费用。</w:t>
            </w:r>
          </w:p>
        </w:tc>
      </w:tr>
      <w:tr w14:paraId="4B27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156" w:type="dxa"/>
            <w:vAlign w:val="center"/>
          </w:tcPr>
          <w:p w14:paraId="65ABE0FA">
            <w:pPr>
              <w:jc w:val="center"/>
              <w:rPr>
                <w:rFonts w:ascii="楷体" w:hAnsi="楷体" w:eastAsia="楷体" w:cs="楷体"/>
                <w:sz w:val="24"/>
              </w:rPr>
            </w:pPr>
            <w:r>
              <w:rPr>
                <w:rFonts w:hint="eastAsia" w:ascii="楷体" w:hAnsi="楷体" w:eastAsia="楷体" w:cs="楷体"/>
                <w:sz w:val="24"/>
              </w:rPr>
              <w:t>超过10（不含）-50（含）的部分</w:t>
            </w:r>
          </w:p>
        </w:tc>
        <w:tc>
          <w:tcPr>
            <w:tcW w:w="2500" w:type="dxa"/>
            <w:vAlign w:val="center"/>
          </w:tcPr>
          <w:p w14:paraId="0DE2D108">
            <w:pPr>
              <w:jc w:val="center"/>
              <w:rPr>
                <w:rFonts w:ascii="楷体" w:hAnsi="楷体" w:eastAsia="楷体" w:cs="楷体"/>
                <w:sz w:val="24"/>
              </w:rPr>
            </w:pPr>
            <w:r>
              <w:rPr>
                <w:rFonts w:hint="eastAsia" w:ascii="楷体" w:hAnsi="楷体" w:eastAsia="楷体" w:cs="楷体"/>
                <w:sz w:val="24"/>
              </w:rPr>
              <w:t>双方各1.0</w:t>
            </w:r>
          </w:p>
        </w:tc>
        <w:tc>
          <w:tcPr>
            <w:tcW w:w="2244" w:type="dxa"/>
            <w:vMerge w:val="continue"/>
            <w:vAlign w:val="center"/>
          </w:tcPr>
          <w:p w14:paraId="5179DD32">
            <w:pPr>
              <w:jc w:val="center"/>
              <w:rPr>
                <w:rFonts w:ascii="楷体" w:hAnsi="楷体" w:eastAsia="楷体" w:cs="楷体"/>
                <w:sz w:val="24"/>
              </w:rPr>
            </w:pPr>
          </w:p>
        </w:tc>
      </w:tr>
      <w:tr w14:paraId="5D50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156" w:type="dxa"/>
            <w:vAlign w:val="center"/>
          </w:tcPr>
          <w:p w14:paraId="4DB10E7F">
            <w:pPr>
              <w:jc w:val="center"/>
              <w:rPr>
                <w:rFonts w:ascii="楷体" w:hAnsi="楷体" w:eastAsia="楷体" w:cs="楷体"/>
                <w:sz w:val="24"/>
              </w:rPr>
            </w:pPr>
            <w:r>
              <w:rPr>
                <w:rFonts w:hint="eastAsia" w:ascii="楷体" w:hAnsi="楷体" w:eastAsia="楷体" w:cs="楷体"/>
                <w:sz w:val="24"/>
              </w:rPr>
              <w:t>超过50（不含）-100（含）的部分</w:t>
            </w:r>
          </w:p>
        </w:tc>
        <w:tc>
          <w:tcPr>
            <w:tcW w:w="2500" w:type="dxa"/>
            <w:vAlign w:val="center"/>
          </w:tcPr>
          <w:p w14:paraId="1C85F714">
            <w:pPr>
              <w:jc w:val="center"/>
              <w:rPr>
                <w:rFonts w:ascii="楷体" w:hAnsi="楷体" w:eastAsia="楷体" w:cs="楷体"/>
                <w:sz w:val="24"/>
              </w:rPr>
            </w:pPr>
            <w:r>
              <w:rPr>
                <w:rFonts w:hint="eastAsia" w:ascii="楷体" w:hAnsi="楷体" w:eastAsia="楷体" w:cs="楷体"/>
                <w:sz w:val="24"/>
              </w:rPr>
              <w:t>双方各0.8</w:t>
            </w:r>
          </w:p>
        </w:tc>
        <w:tc>
          <w:tcPr>
            <w:tcW w:w="2244" w:type="dxa"/>
            <w:vMerge w:val="continue"/>
            <w:vAlign w:val="center"/>
          </w:tcPr>
          <w:p w14:paraId="5A64850B">
            <w:pPr>
              <w:jc w:val="center"/>
              <w:rPr>
                <w:rFonts w:ascii="楷体" w:hAnsi="楷体" w:eastAsia="楷体" w:cs="楷体"/>
                <w:sz w:val="24"/>
              </w:rPr>
            </w:pPr>
          </w:p>
        </w:tc>
      </w:tr>
      <w:tr w14:paraId="164C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156" w:type="dxa"/>
            <w:vAlign w:val="center"/>
          </w:tcPr>
          <w:p w14:paraId="0200A10E">
            <w:pPr>
              <w:jc w:val="center"/>
              <w:rPr>
                <w:rFonts w:ascii="楷体" w:hAnsi="楷体" w:eastAsia="楷体" w:cs="楷体"/>
                <w:sz w:val="24"/>
              </w:rPr>
            </w:pPr>
            <w:r>
              <w:rPr>
                <w:rFonts w:hint="eastAsia" w:ascii="楷体" w:hAnsi="楷体" w:eastAsia="楷体" w:cs="楷体"/>
                <w:sz w:val="24"/>
              </w:rPr>
              <w:t>超过100（不含）-500（含）的部分</w:t>
            </w:r>
          </w:p>
        </w:tc>
        <w:tc>
          <w:tcPr>
            <w:tcW w:w="2500" w:type="dxa"/>
            <w:vAlign w:val="center"/>
          </w:tcPr>
          <w:p w14:paraId="6D2F3F5E">
            <w:pPr>
              <w:jc w:val="center"/>
              <w:rPr>
                <w:rFonts w:ascii="楷体" w:hAnsi="楷体" w:eastAsia="楷体" w:cs="楷体"/>
                <w:sz w:val="24"/>
              </w:rPr>
            </w:pPr>
            <w:r>
              <w:rPr>
                <w:rFonts w:hint="eastAsia" w:ascii="楷体" w:hAnsi="楷体" w:eastAsia="楷体" w:cs="楷体"/>
                <w:sz w:val="24"/>
              </w:rPr>
              <w:t>双方各0.6</w:t>
            </w:r>
          </w:p>
        </w:tc>
        <w:tc>
          <w:tcPr>
            <w:tcW w:w="2244" w:type="dxa"/>
            <w:vMerge w:val="continue"/>
            <w:vAlign w:val="center"/>
          </w:tcPr>
          <w:p w14:paraId="489EFC93">
            <w:pPr>
              <w:jc w:val="center"/>
              <w:rPr>
                <w:rFonts w:ascii="楷体" w:hAnsi="楷体" w:eastAsia="楷体" w:cs="楷体"/>
                <w:sz w:val="24"/>
              </w:rPr>
            </w:pPr>
          </w:p>
        </w:tc>
      </w:tr>
      <w:tr w14:paraId="4F83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156" w:type="dxa"/>
            <w:vAlign w:val="center"/>
          </w:tcPr>
          <w:p w14:paraId="0E2CE802">
            <w:pPr>
              <w:jc w:val="center"/>
              <w:rPr>
                <w:rFonts w:ascii="楷体" w:hAnsi="楷体" w:eastAsia="楷体" w:cs="楷体"/>
                <w:sz w:val="24"/>
              </w:rPr>
            </w:pPr>
            <w:r>
              <w:rPr>
                <w:rFonts w:hint="eastAsia" w:ascii="楷体" w:hAnsi="楷体" w:eastAsia="楷体" w:cs="楷体"/>
                <w:sz w:val="24"/>
              </w:rPr>
              <w:t>超过500（不含）的部分</w:t>
            </w:r>
          </w:p>
        </w:tc>
        <w:tc>
          <w:tcPr>
            <w:tcW w:w="2500" w:type="dxa"/>
            <w:vAlign w:val="center"/>
          </w:tcPr>
          <w:p w14:paraId="6BCD4966">
            <w:pPr>
              <w:jc w:val="center"/>
              <w:rPr>
                <w:rFonts w:ascii="楷体" w:hAnsi="楷体" w:eastAsia="楷体" w:cs="楷体"/>
                <w:sz w:val="24"/>
              </w:rPr>
            </w:pPr>
            <w:r>
              <w:rPr>
                <w:rFonts w:hint="eastAsia" w:ascii="楷体" w:hAnsi="楷体" w:eastAsia="楷体" w:cs="楷体"/>
                <w:sz w:val="24"/>
              </w:rPr>
              <w:t>双方各0.2</w:t>
            </w:r>
          </w:p>
        </w:tc>
        <w:tc>
          <w:tcPr>
            <w:tcW w:w="2244" w:type="dxa"/>
            <w:vMerge w:val="continue"/>
            <w:vAlign w:val="center"/>
          </w:tcPr>
          <w:p w14:paraId="3D85C27E">
            <w:pPr>
              <w:jc w:val="center"/>
              <w:rPr>
                <w:rFonts w:ascii="楷体" w:hAnsi="楷体" w:eastAsia="楷体" w:cs="楷体"/>
                <w:sz w:val="24"/>
              </w:rPr>
            </w:pPr>
          </w:p>
        </w:tc>
      </w:tr>
      <w:tr w14:paraId="6BAE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00" w:type="dxa"/>
            <w:gridSpan w:val="3"/>
            <w:vAlign w:val="center"/>
          </w:tcPr>
          <w:p w14:paraId="793F0799">
            <w:pPr>
              <w:pStyle w:val="6"/>
              <w:rPr>
                <w:rFonts w:ascii="楷体" w:hAnsi="楷体" w:eastAsia="楷体" w:cs="楷体"/>
                <w:sz w:val="24"/>
                <w:szCs w:val="24"/>
              </w:rPr>
            </w:pPr>
            <w:r>
              <w:rPr>
                <w:rFonts w:hint="eastAsia" w:ascii="楷体" w:hAnsi="楷体" w:eastAsia="楷体" w:cs="楷体"/>
                <w:sz w:val="24"/>
                <w:szCs w:val="24"/>
              </w:rPr>
              <w:t>例如，成交额为600万元，服务收费如下：</w:t>
            </w:r>
          </w:p>
          <w:p w14:paraId="021376D7">
            <w:pPr>
              <w:pStyle w:val="6"/>
              <w:rPr>
                <w:rFonts w:ascii="楷体" w:hAnsi="楷体" w:eastAsia="楷体" w:cs="楷体"/>
                <w:sz w:val="24"/>
                <w:szCs w:val="24"/>
              </w:rPr>
            </w:pPr>
            <w:r>
              <w:rPr>
                <w:rFonts w:hint="eastAsia" w:ascii="楷体" w:hAnsi="楷体" w:eastAsia="楷体" w:cs="楷体"/>
                <w:sz w:val="24"/>
                <w:szCs w:val="24"/>
              </w:rPr>
              <w:t>10万元x1.2%=1200元</w:t>
            </w:r>
          </w:p>
          <w:p w14:paraId="3FC2CC21">
            <w:pPr>
              <w:pStyle w:val="6"/>
              <w:rPr>
                <w:rFonts w:ascii="楷体" w:hAnsi="楷体" w:eastAsia="楷体" w:cs="楷体"/>
                <w:sz w:val="24"/>
                <w:szCs w:val="24"/>
              </w:rPr>
            </w:pPr>
            <w:r>
              <w:rPr>
                <w:rFonts w:hint="eastAsia" w:ascii="楷体" w:hAnsi="楷体" w:eastAsia="楷体" w:cs="楷体"/>
                <w:sz w:val="24"/>
                <w:szCs w:val="24"/>
              </w:rPr>
              <w:t>(50-10)万元x1.0%=4000元</w:t>
            </w:r>
          </w:p>
          <w:p w14:paraId="2F1DE668">
            <w:pPr>
              <w:pStyle w:val="6"/>
              <w:rPr>
                <w:rFonts w:ascii="楷体" w:hAnsi="楷体" w:eastAsia="楷体" w:cs="楷体"/>
                <w:sz w:val="24"/>
                <w:szCs w:val="24"/>
              </w:rPr>
            </w:pPr>
            <w:r>
              <w:rPr>
                <w:rFonts w:hint="eastAsia" w:ascii="楷体" w:hAnsi="楷体" w:eastAsia="楷体" w:cs="楷体"/>
                <w:sz w:val="24"/>
                <w:szCs w:val="24"/>
              </w:rPr>
              <w:t>(100-50)万元x0.8%=4000元</w:t>
            </w:r>
          </w:p>
          <w:p w14:paraId="291CFB26">
            <w:pPr>
              <w:pStyle w:val="6"/>
              <w:rPr>
                <w:rFonts w:ascii="楷体" w:hAnsi="楷体" w:eastAsia="楷体" w:cs="楷体"/>
                <w:sz w:val="24"/>
                <w:szCs w:val="24"/>
              </w:rPr>
            </w:pPr>
            <w:r>
              <w:rPr>
                <w:rFonts w:hint="eastAsia" w:ascii="楷体" w:hAnsi="楷体" w:eastAsia="楷体" w:cs="楷体"/>
                <w:sz w:val="24"/>
                <w:szCs w:val="24"/>
              </w:rPr>
              <w:t>(500-100)万元x0.6%=24000元</w:t>
            </w:r>
          </w:p>
          <w:p w14:paraId="57DBB2B3">
            <w:pPr>
              <w:pStyle w:val="6"/>
              <w:rPr>
                <w:rFonts w:ascii="楷体" w:hAnsi="楷体" w:eastAsia="楷体" w:cs="楷体"/>
                <w:sz w:val="24"/>
                <w:szCs w:val="24"/>
              </w:rPr>
            </w:pPr>
            <w:r>
              <w:rPr>
                <w:rFonts w:hint="eastAsia" w:ascii="楷体" w:hAnsi="楷体" w:eastAsia="楷体" w:cs="楷体"/>
                <w:sz w:val="24"/>
                <w:szCs w:val="24"/>
              </w:rPr>
              <w:t>(600-500)万元x0.2%=2000元</w:t>
            </w:r>
          </w:p>
          <w:p w14:paraId="22636B53">
            <w:pPr>
              <w:pStyle w:val="6"/>
              <w:rPr>
                <w:rFonts w:ascii="楷体" w:hAnsi="楷体" w:eastAsia="楷体" w:cs="楷体"/>
                <w:sz w:val="24"/>
                <w:szCs w:val="24"/>
              </w:rPr>
            </w:pPr>
            <w:r>
              <w:rPr>
                <w:rFonts w:hint="eastAsia" w:ascii="楷体" w:hAnsi="楷体" w:eastAsia="楷体" w:cs="楷体"/>
                <w:sz w:val="24"/>
                <w:szCs w:val="24"/>
              </w:rPr>
              <w:t>服务费总额:</w:t>
            </w:r>
          </w:p>
          <w:p w14:paraId="5B191103">
            <w:pPr>
              <w:pStyle w:val="6"/>
              <w:rPr>
                <w:rFonts w:ascii="楷体" w:hAnsi="楷体" w:eastAsia="楷体" w:cs="楷体"/>
                <w:sz w:val="24"/>
                <w:szCs w:val="24"/>
              </w:rPr>
            </w:pPr>
            <w:r>
              <w:rPr>
                <w:rFonts w:hint="eastAsia" w:ascii="楷体" w:hAnsi="楷体" w:eastAsia="楷体" w:cs="楷体"/>
                <w:sz w:val="24"/>
                <w:szCs w:val="24"/>
              </w:rPr>
              <w:t>1200+4000+4000+24000+2000=35200元</w:t>
            </w:r>
          </w:p>
        </w:tc>
      </w:tr>
    </w:tbl>
    <w:p w14:paraId="2356E54B">
      <w:pPr>
        <w:topLinePunct/>
        <w:spacing w:line="560" w:lineRule="exact"/>
        <w:ind w:firstLine="643" w:firstLineChars="200"/>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第七条</w:t>
      </w:r>
      <w:r>
        <w:rPr>
          <w:rFonts w:ascii="Times New Roman" w:hAnsi="Times New Roman" w:eastAsia="楷体_GB2312" w:cs="Times New Roman"/>
          <w:sz w:val="32"/>
          <w:szCs w:val="32"/>
        </w:rPr>
        <w:t xml:space="preserve"> </w:t>
      </w:r>
      <w:r>
        <w:rPr>
          <w:rFonts w:ascii="Times New Roman" w:hAnsi="Times New Roman" w:eastAsia="仿宋_GB2312" w:cs="Times New Roman"/>
          <w:sz w:val="32"/>
          <w:szCs w:val="32"/>
        </w:rPr>
        <w:t xml:space="preserve"> 在</w:t>
      </w:r>
      <w:r>
        <w:rPr>
          <w:rFonts w:hint="eastAsia" w:ascii="Times New Roman" w:hAnsi="Times New Roman" w:eastAsia="仿宋_GB2312" w:cs="Times New Roman"/>
          <w:sz w:val="32"/>
          <w:szCs w:val="32"/>
        </w:rPr>
        <w:t>农交中心</w:t>
      </w:r>
      <w:r>
        <w:rPr>
          <w:rFonts w:ascii="Times New Roman" w:hAnsi="Times New Roman" w:eastAsia="仿宋_GB2312" w:cs="Times New Roman"/>
          <w:sz w:val="32"/>
          <w:szCs w:val="32"/>
        </w:rPr>
        <w:t>进行的产权交易项目因</w:t>
      </w:r>
      <w:r>
        <w:rPr>
          <w:rFonts w:hint="eastAsia" w:ascii="Times New Roman" w:hAnsi="Times New Roman" w:eastAsia="仿宋_GB2312" w:cs="Times New Roman"/>
          <w:sz w:val="32"/>
          <w:szCs w:val="32"/>
        </w:rPr>
        <w:t>农交中心</w:t>
      </w:r>
      <w:r>
        <w:rPr>
          <w:rFonts w:ascii="Times New Roman" w:hAnsi="Times New Roman" w:eastAsia="仿宋_GB2312" w:cs="Times New Roman"/>
          <w:sz w:val="32"/>
          <w:szCs w:val="32"/>
        </w:rPr>
        <w:t>组织竞价交易，项目产生溢价，溢价部分按下列方式向</w:t>
      </w:r>
      <w:r>
        <w:rPr>
          <w:rFonts w:hint="eastAsia" w:ascii="Times New Roman" w:hAnsi="Times New Roman" w:eastAsia="仿宋_GB2312" w:cs="Times New Roman"/>
          <w:sz w:val="32"/>
          <w:szCs w:val="32"/>
        </w:rPr>
        <w:t>出让方</w:t>
      </w:r>
      <w:r>
        <w:rPr>
          <w:rFonts w:ascii="Times New Roman" w:hAnsi="Times New Roman" w:eastAsia="仿宋_GB2312" w:cs="Times New Roman"/>
          <w:sz w:val="32"/>
          <w:szCs w:val="32"/>
        </w:rPr>
        <w:t>收费。</w:t>
      </w:r>
    </w:p>
    <w:p w14:paraId="57A737C0">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（一）知识产权类</w:t>
      </w:r>
    </w:p>
    <w:p w14:paraId="4512A1DB">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溢价率在100%（含）以下的，按溢价部分的10%收取，溢价率在100%以上的，按溢价部分的20%收取。</w:t>
      </w:r>
    </w:p>
    <w:p w14:paraId="76D837FB">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其他交易</w:t>
      </w:r>
      <w:r>
        <w:rPr>
          <w:rFonts w:ascii="Times New Roman" w:hAnsi="Times New Roman" w:eastAsia="仿宋_GB2312" w:cs="Times New Roman"/>
          <w:sz w:val="32"/>
          <w:szCs w:val="32"/>
        </w:rPr>
        <w:t>品种</w:t>
      </w:r>
    </w:p>
    <w:p w14:paraId="5FE887D3">
      <w:pPr>
        <w:topLinePunct/>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溢价率在100%（含）以下的，按溢价部分的3%收取，溢价率在100%以上的，按溢价部分的6%收取。</w:t>
      </w:r>
    </w:p>
    <w:p w14:paraId="76AF9C5D">
      <w:pPr>
        <w:topLinePunct/>
        <w:autoSpaceDE w:val="0"/>
        <w:autoSpaceDN w:val="0"/>
        <w:adjustRightInd w:val="0"/>
        <w:snapToGrid w:val="0"/>
        <w:spacing w:line="560" w:lineRule="exact"/>
        <w:ind w:firstLine="643" w:firstLineChars="200"/>
        <w:jc w:val="left"/>
        <w:textAlignment w:val="baseline"/>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第八条</w:t>
      </w:r>
      <w:r>
        <w:rPr>
          <w:rFonts w:ascii="Times New Roman" w:hAnsi="Times New Roman" w:eastAsia="楷体_GB2312" w:cs="Times New Roman"/>
          <w:sz w:val="32"/>
          <w:szCs w:val="32"/>
        </w:rPr>
        <w:t xml:space="preserve"> </w:t>
      </w:r>
      <w:r>
        <w:rPr>
          <w:rFonts w:ascii="Times New Roman" w:hAnsi="Times New Roman" w:eastAsia="仿宋_GB2312" w:cs="Times New Roman"/>
          <w:sz w:val="32"/>
          <w:szCs w:val="32"/>
        </w:rPr>
        <w:t xml:space="preserve"> 涉及咨询服务费、招商引资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项目推介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服务费、</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场推广费、会务组织费、广告服务费</w:t>
      </w:r>
      <w:r>
        <w:rPr>
          <w:rFonts w:hint="eastAsia" w:ascii="Times New Roman" w:hAnsi="Times New Roman" w:eastAsia="仿宋_GB2312" w:cs="Times New Roman"/>
          <w:sz w:val="32"/>
          <w:szCs w:val="32"/>
        </w:rPr>
        <w:t>、公告费、</w:t>
      </w:r>
      <w:r>
        <w:rPr>
          <w:rFonts w:ascii="Times New Roman" w:hAnsi="Times New Roman" w:eastAsia="仿宋_GB2312" w:cs="Times New Roman"/>
          <w:sz w:val="32"/>
          <w:szCs w:val="32"/>
        </w:rPr>
        <w:t>报名费</w:t>
      </w:r>
      <w:r>
        <w:rPr>
          <w:rFonts w:hint="eastAsia" w:ascii="Times New Roman" w:hAnsi="Times New Roman" w:eastAsia="仿宋_GB2312" w:cs="Times New Roman"/>
          <w:sz w:val="32"/>
          <w:szCs w:val="32"/>
        </w:rPr>
        <w:t>、农村产权融资咨询服务费及其他</w:t>
      </w:r>
      <w:r>
        <w:rPr>
          <w:rFonts w:ascii="Times New Roman" w:hAnsi="Times New Roman" w:eastAsia="仿宋_GB2312" w:cs="Times New Roman"/>
          <w:sz w:val="32"/>
          <w:szCs w:val="32"/>
        </w:rPr>
        <w:t>增值服务收费等其他费用按照交易公告约定或与客户签订的协议约定标准收取。</w:t>
      </w:r>
    </w:p>
    <w:p w14:paraId="4A0E9F82">
      <w:pPr>
        <w:topLinePunct/>
        <w:autoSpaceDE w:val="0"/>
        <w:autoSpaceDN w:val="0"/>
        <w:adjustRightInd w:val="0"/>
        <w:snapToGrid w:val="0"/>
        <w:spacing w:line="560" w:lineRule="exact"/>
        <w:ind w:firstLine="643" w:firstLineChars="200"/>
        <w:jc w:val="left"/>
        <w:textAlignment w:val="baseline"/>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第九条</w:t>
      </w:r>
      <w:r>
        <w:rPr>
          <w:rFonts w:hint="eastAsia" w:ascii="Times New Roman" w:hAnsi="Times New Roman" w:eastAsia="仿宋_GB2312" w:cs="Times New Roman"/>
          <w:sz w:val="32"/>
          <w:szCs w:val="32"/>
        </w:rPr>
        <w:t xml:space="preserve">  农交中心</w:t>
      </w:r>
      <w:r>
        <w:rPr>
          <w:rFonts w:ascii="Times New Roman" w:hAnsi="Times New Roman" w:eastAsia="仿宋_GB2312" w:cs="Times New Roman"/>
          <w:sz w:val="32"/>
          <w:szCs w:val="32"/>
        </w:rPr>
        <w:t>拓展的</w:t>
      </w:r>
      <w:r>
        <w:rPr>
          <w:rFonts w:hint="eastAsia" w:ascii="Times New Roman" w:hAnsi="Times New Roman" w:eastAsia="仿宋_GB2312" w:cs="Times New Roman"/>
          <w:sz w:val="32"/>
          <w:szCs w:val="32"/>
          <w:lang w:eastAsia="zh-CN"/>
        </w:rPr>
        <w:t>县</w:t>
      </w:r>
      <w:r>
        <w:rPr>
          <w:rFonts w:ascii="Times New Roman" w:hAnsi="Times New Roman" w:eastAsia="仿宋_GB2312" w:cs="Times New Roman"/>
          <w:sz w:val="32"/>
          <w:szCs w:val="32"/>
        </w:rPr>
        <w:t>场化业务（如农村产权再次流转交易、非农村产权交易服务）等业务，可按照交易公告约定或与客户签订的协议约定标准收取。</w:t>
      </w:r>
    </w:p>
    <w:p w14:paraId="2E0A24A8">
      <w:pPr>
        <w:topLinePunct/>
        <w:autoSpaceDE w:val="0"/>
        <w:autoSpaceDN w:val="0"/>
        <w:adjustRightInd w:val="0"/>
        <w:snapToGrid w:val="0"/>
        <w:spacing w:line="560" w:lineRule="exact"/>
        <w:ind w:firstLine="643" w:firstLineChars="200"/>
        <w:jc w:val="left"/>
        <w:textAlignment w:val="baseline"/>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第十条</w:t>
      </w:r>
      <w:r>
        <w:rPr>
          <w:rFonts w:hint="eastAsia" w:ascii="黑体" w:hAnsi="黑体" w:eastAsia="黑体" w:cs="黑体"/>
          <w:sz w:val="32"/>
          <w:szCs w:val="32"/>
        </w:rPr>
        <w:t xml:space="preserve">  </w:t>
      </w:r>
      <w:r>
        <w:rPr>
          <w:rFonts w:hint="eastAsia" w:ascii="Times New Roman" w:hAnsi="Times New Roman" w:eastAsia="仿宋_GB2312" w:cs="Times New Roman"/>
          <w:sz w:val="32"/>
          <w:szCs w:val="32"/>
        </w:rPr>
        <w:t>区县政府或业务职能部门规定需对交易项目进行费用减免的，经报公司会议审议同意后，从其规定。</w:t>
      </w:r>
    </w:p>
    <w:p w14:paraId="562D001F">
      <w:pPr>
        <w:topLinePunct/>
        <w:autoSpaceDE w:val="0"/>
        <w:autoSpaceDN w:val="0"/>
        <w:adjustRightInd w:val="0"/>
        <w:snapToGrid w:val="0"/>
        <w:spacing w:line="560" w:lineRule="exact"/>
        <w:ind w:firstLine="643" w:firstLineChars="200"/>
        <w:textAlignment w:val="baseline"/>
        <w:rPr>
          <w:rFonts w:ascii="Times New Roman" w:hAnsi="Times New Roman" w:eastAsia="仿宋_GB2312" w:cs="Times New Roman"/>
          <w:sz w:val="32"/>
          <w:szCs w:val="32"/>
        </w:rPr>
      </w:pPr>
      <w:r>
        <w:rPr>
          <w:rFonts w:hint="eastAsia" w:ascii="仿宋_GB2312" w:hAnsi="仿宋_GB2312" w:eastAsia="仿宋_GB2312" w:cs="仿宋_GB2312"/>
          <w:b/>
          <w:bCs/>
          <w:kern w:val="0"/>
          <w:sz w:val="32"/>
          <w:szCs w:val="32"/>
          <w:lang w:bidi="ar"/>
        </w:rPr>
        <w:t>第十一条</w:t>
      </w:r>
      <w:r>
        <w:rPr>
          <w:rFonts w:hint="eastAsia" w:ascii="黑体" w:hAnsi="黑体" w:eastAsia="黑体" w:cs="黑体"/>
          <w:sz w:val="32"/>
          <w:szCs w:val="32"/>
        </w:rPr>
        <w:t xml:space="preserve">  </w:t>
      </w: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解释权和修订权归</w:t>
      </w:r>
      <w:r>
        <w:rPr>
          <w:rFonts w:hint="eastAsia" w:ascii="___WRD_EMBED_SUB_45" w:hAnsi="___WRD_EMBED_SUB_45" w:eastAsia="___WRD_EMBED_SUB_45" w:cs="___WRD_EMBED_SUB_45"/>
          <w:sz w:val="32"/>
          <w:szCs w:val="32"/>
        </w:rPr>
        <w:t>石门县</w:t>
      </w:r>
      <w:r>
        <w:rPr>
          <w:rFonts w:ascii="Times New Roman" w:hAnsi="Times New Roman" w:eastAsia="仿宋_GB2312" w:cs="Times New Roman"/>
          <w:sz w:val="32"/>
          <w:szCs w:val="32"/>
        </w:rPr>
        <w:t>农村产权交易中心</w:t>
      </w:r>
      <w:r>
        <w:rPr>
          <w:rFonts w:hint="eastAsia" w:ascii="Times New Roman" w:hAnsi="Times New Roman" w:eastAsia="仿宋_GB2312" w:cs="Times New Roman"/>
          <w:sz w:val="32"/>
          <w:szCs w:val="32"/>
        </w:rPr>
        <w:t>，国家和省、</w:t>
      </w:r>
      <w:r>
        <w:rPr>
          <w:rFonts w:hint="eastAsia" w:ascii="Times New Roman" w:hAnsi="Times New Roman" w:eastAsia="仿宋_GB2312" w:cs="Times New Roman"/>
          <w:sz w:val="32"/>
          <w:szCs w:val="32"/>
          <w:lang w:eastAsia="zh-CN"/>
        </w:rPr>
        <w:t>县</w:t>
      </w:r>
      <w:r>
        <w:rPr>
          <w:rFonts w:hint="eastAsia" w:ascii="Times New Roman" w:hAnsi="Times New Roman" w:eastAsia="仿宋_GB2312" w:cs="Times New Roman"/>
          <w:sz w:val="32"/>
          <w:szCs w:val="32"/>
        </w:rPr>
        <w:t>有关部门对涉及本办法内容另有规定的，从其规定。</w:t>
      </w:r>
    </w:p>
    <w:p w14:paraId="176A7CDB">
      <w:pPr>
        <w:pStyle w:val="13"/>
        <w:shd w:val="clear" w:color="auto" w:fill="FFFFFF"/>
        <w:spacing w:beforeAutospacing="0" w:afterAutospacing="0" w:line="560" w:lineRule="exact"/>
        <w:ind w:firstLine="643" w:firstLineChars="200"/>
        <w:jc w:val="both"/>
        <w:rPr>
          <w:rFonts w:ascii="Times New Roman" w:hAnsi="Times New Roman" w:eastAsia="仿宋_GB2312"/>
          <w:sz w:val="32"/>
          <w:szCs w:val="32"/>
        </w:rPr>
        <w:sectPr>
          <w:pgSz w:w="11906" w:h="16838"/>
          <w:pgMar w:top="1440" w:right="1800" w:bottom="1440" w:left="1800" w:header="851" w:footer="737" w:gutter="0"/>
          <w:pgNumType w:fmt="numberInDash"/>
          <w:cols w:space="425" w:num="1"/>
          <w:docGrid w:type="lines" w:linePitch="312" w:charSpace="0"/>
        </w:sectPr>
      </w:pPr>
      <w:r>
        <w:rPr>
          <w:rFonts w:hint="eastAsia" w:ascii="仿宋_GB2312" w:hAnsi="仿宋_GB2312" w:eastAsia="仿宋_GB2312" w:cs="仿宋_GB2312"/>
          <w:b/>
          <w:bCs/>
          <w:sz w:val="32"/>
          <w:szCs w:val="32"/>
        </w:rPr>
        <w:t>第十二条</w:t>
      </w:r>
      <w:r>
        <w:rPr>
          <w:rFonts w:hint="eastAsia" w:ascii="黑体" w:hAnsi="黑体" w:eastAsia="黑体" w:cs="黑体"/>
          <w:sz w:val="32"/>
          <w:szCs w:val="32"/>
        </w:rPr>
        <w:t xml:space="preserve">  </w:t>
      </w:r>
      <w:r>
        <w:rPr>
          <w:rFonts w:hint="eastAsia" w:ascii="Times New Roman" w:hAnsi="Times New Roman" w:eastAsia="仿宋_GB2312"/>
          <w:sz w:val="32"/>
          <w:szCs w:val="32"/>
        </w:rPr>
        <w:t>本办法</w:t>
      </w:r>
      <w:r>
        <w:rPr>
          <w:rFonts w:ascii="Times New Roman" w:hAnsi="Times New Roman" w:eastAsia="仿宋_GB2312"/>
          <w:kern w:val="2"/>
          <w:sz w:val="32"/>
          <w:szCs w:val="32"/>
        </w:rPr>
        <w:t>自印发之日起</w:t>
      </w:r>
      <w:r>
        <w:rPr>
          <w:rFonts w:hint="eastAsia" w:ascii="Times New Roman" w:hAnsi="Times New Roman" w:eastAsia="仿宋_GB2312"/>
          <w:sz w:val="32"/>
          <w:szCs w:val="32"/>
        </w:rPr>
        <w:t>施行。</w:t>
      </w:r>
    </w:p>
    <w:p w14:paraId="160AA11A">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374" w:name="_Toc9285"/>
      <w:bookmarkStart w:id="375" w:name="_Toc624"/>
      <w:bookmarkStart w:id="376" w:name="_Toc209"/>
      <w:bookmarkStart w:id="377" w:name="_Toc20875"/>
      <w:bookmarkStart w:id="378" w:name="_Toc9"/>
      <w:bookmarkStart w:id="379" w:name="_Toc2286"/>
      <w:bookmarkStart w:id="380" w:name="_Toc1570"/>
      <w:bookmarkStart w:id="381" w:name="_Toc13136"/>
      <w:bookmarkStart w:id="382" w:name="_Toc24008"/>
      <w:bookmarkStart w:id="383" w:name="_Toc20694"/>
      <w:bookmarkStart w:id="384" w:name="_Toc10199"/>
      <w:bookmarkStart w:id="385" w:name="_Toc21201"/>
      <w:bookmarkStart w:id="386" w:name="_Toc18349"/>
      <w:bookmarkStart w:id="387" w:name="_Toc20443"/>
      <w:bookmarkStart w:id="388" w:name="_Toc18743"/>
      <w:bookmarkStart w:id="389" w:name="_Toc32116"/>
      <w:bookmarkStart w:id="390" w:name="_Toc24069"/>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30414AC6">
      <w:pPr>
        <w:pStyle w:val="13"/>
        <w:shd w:val="clear" w:color="auto" w:fill="FFFFFF"/>
        <w:spacing w:beforeAutospacing="0" w:afterAutospacing="0" w:line="560" w:lineRule="exact"/>
        <w:jc w:val="center"/>
        <w:outlineLvl w:val="0"/>
        <w:rPr>
          <w:rFonts w:ascii="Times New Roman" w:hAnsi="Times New Roman"/>
          <w:b/>
          <w:bCs/>
          <w:sz w:val="28"/>
          <w:szCs w:val="28"/>
        </w:rPr>
      </w:pPr>
      <w:r>
        <w:rPr>
          <w:rStyle w:val="18"/>
          <w:rFonts w:hint="eastAsia" w:ascii="方正小标宋简体" w:hAnsi="方正小标宋简体" w:eastAsia="方正小标宋简体" w:cs="方正小标宋简体"/>
          <w:b w:val="0"/>
          <w:bCs/>
          <w:color w:val="333333"/>
          <w:sz w:val="44"/>
          <w:szCs w:val="44"/>
          <w:shd w:val="clear" w:color="auto" w:fill="FFFFFF"/>
        </w:rPr>
        <w:t>风险控制管理办法（试行）</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53DE5D5A">
      <w:pPr>
        <w:pStyle w:val="13"/>
        <w:shd w:val="clear" w:color="auto" w:fill="FFFFFF"/>
        <w:spacing w:before="156" w:beforeLines="50" w:beforeAutospacing="0" w:after="156" w:afterLines="50" w:afterAutospacing="0" w:line="560" w:lineRule="exact"/>
        <w:ind w:firstLine="3534" w:firstLineChars="1100"/>
        <w:outlineLvl w:val="1"/>
        <w:rPr>
          <w:rFonts w:ascii="仿宋_GB2312" w:hAnsi="仿宋_GB2312" w:eastAsia="仿宋_GB2312" w:cs="仿宋_GB2312"/>
          <w:color w:val="333333"/>
          <w:sz w:val="32"/>
          <w:szCs w:val="32"/>
          <w:shd w:val="clear" w:color="auto" w:fill="FFFFFF"/>
        </w:rPr>
      </w:pPr>
      <w:bookmarkStart w:id="391" w:name="_Toc15702"/>
      <w:r>
        <w:rPr>
          <w:rFonts w:hint="eastAsia" w:ascii="仿宋_GB2312" w:hAnsi="仿宋_GB2312" w:eastAsia="仿宋_GB2312" w:cs="仿宋_GB2312"/>
          <w:b/>
          <w:bCs/>
          <w:color w:val="333333"/>
          <w:sz w:val="32"/>
          <w:szCs w:val="32"/>
          <w:shd w:val="clear" w:color="auto" w:fill="FFFFFF"/>
        </w:rPr>
        <w:t>第一章 总  则</w:t>
      </w:r>
      <w:bookmarkEnd w:id="391"/>
    </w:p>
    <w:p w14:paraId="14B03438">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第一条</w:t>
      </w:r>
      <w:r>
        <w:rPr>
          <w:rFonts w:hint="eastAsia" w:ascii="仿宋_GB2312" w:hAnsi="仿宋_GB2312" w:eastAsia="仿宋_GB2312" w:cs="仿宋_GB2312"/>
          <w:color w:val="333333"/>
          <w:sz w:val="32"/>
          <w:szCs w:val="32"/>
          <w:shd w:val="clear" w:color="auto" w:fill="FFFFFF"/>
        </w:rPr>
        <w:t xml:space="preserve"> 为了建立健全石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风险控制管理体系，加强风险防控。有效识别、监控存在的潜在风险，进一步预防、控制、消除由于各种不确定因素中心产生的影响。提高农交中心风险承受能力，确保农交中心各项业务稳健发展、持续经营，实现农交中心的经营目标和经营战略，制定本制度。</w:t>
      </w:r>
    </w:p>
    <w:p w14:paraId="46CFF8B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第二条</w:t>
      </w:r>
      <w:r>
        <w:rPr>
          <w:rFonts w:hint="eastAsia" w:ascii="仿宋_GB2312" w:hAnsi="仿宋_GB2312" w:eastAsia="仿宋_GB2312" w:cs="仿宋_GB2312"/>
          <w:color w:val="333333"/>
          <w:sz w:val="32"/>
          <w:szCs w:val="32"/>
          <w:shd w:val="clear" w:color="auto" w:fill="FFFFFF"/>
        </w:rPr>
        <w:t xml:space="preserve"> 本制度是由农交中心通过借鉴通行的风险控制和风险管理理念，结合农交中心的实际业务需要而制定的。</w:t>
      </w:r>
    </w:p>
    <w:p w14:paraId="33869E4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第三条</w:t>
      </w:r>
      <w:r>
        <w:rPr>
          <w:rFonts w:hint="eastAsia" w:ascii="仿宋_GB2312" w:hAnsi="仿宋_GB2312" w:eastAsia="仿宋_GB2312" w:cs="仿宋_GB2312"/>
          <w:color w:val="333333"/>
          <w:sz w:val="32"/>
          <w:szCs w:val="32"/>
          <w:shd w:val="clear" w:color="auto" w:fill="FFFFFF"/>
        </w:rPr>
        <w:t xml:space="preserve"> 本制度中风险是指与农交中心经营及发展有关的各类风险，包括日常管理风险、法律风险、道德风险、资金风险、交易风险和系统风险。</w:t>
      </w:r>
    </w:p>
    <w:p w14:paraId="4E72593D">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第四条</w:t>
      </w:r>
      <w:r>
        <w:rPr>
          <w:rFonts w:hint="eastAsia" w:ascii="仿宋_GB2312" w:hAnsi="仿宋_GB2312" w:eastAsia="仿宋_GB2312" w:cs="仿宋_GB2312"/>
          <w:color w:val="333333"/>
          <w:sz w:val="32"/>
          <w:szCs w:val="32"/>
          <w:shd w:val="clear" w:color="auto" w:fill="FFFFFF"/>
        </w:rPr>
        <w:t xml:space="preserve"> 农交中心风险控制管理的组织体系由董事会、监事、总经理和副总经理、风险控制管理部门、业务部门和其他职能部门组成。</w:t>
      </w:r>
    </w:p>
    <w:p w14:paraId="13D65E64">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（一）董事会是农交中心风险控制的最高决策机构，担负风险控制的最终责任。</w:t>
      </w:r>
    </w:p>
    <w:p w14:paraId="21EFE504">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（二）监事由股东委派，负责对风险控制活动履行监督职能。</w:t>
      </w:r>
    </w:p>
    <w:p w14:paraId="0B319742">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（三）总经理和副总经理就风险控制活动的有效性向董事会负责。总经理和副总经理在董事会的领导下，全面负责风险控制的日常工作。</w:t>
      </w:r>
    </w:p>
    <w:p w14:paraId="0884796D">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（四）风险控制管理部门公司履行风险管理职责。</w:t>
      </w:r>
    </w:p>
    <w:p w14:paraId="5D32F1C9">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（五）业务部门和其他职能部门是针对风险实施控制的第一道防线，承担各自相应的风险管理职责。</w:t>
      </w:r>
    </w:p>
    <w:p w14:paraId="067285CA">
      <w:pPr>
        <w:pStyle w:val="13"/>
        <w:shd w:val="clear" w:color="auto" w:fill="FFFFFF"/>
        <w:spacing w:before="156" w:beforeLines="50" w:beforeAutospacing="0" w:after="156" w:afterLines="50" w:afterAutospacing="0" w:line="560" w:lineRule="exact"/>
        <w:jc w:val="center"/>
        <w:outlineLvl w:val="1"/>
        <w:rPr>
          <w:rFonts w:ascii="仿宋_GB2312" w:hAnsi="仿宋_GB2312" w:eastAsia="仿宋_GB2312" w:cs="仿宋_GB2312"/>
          <w:b/>
          <w:bCs/>
          <w:color w:val="333333"/>
          <w:sz w:val="32"/>
          <w:szCs w:val="32"/>
          <w:shd w:val="clear" w:color="auto" w:fill="FFFFFF"/>
        </w:rPr>
      </w:pPr>
      <w:bookmarkStart w:id="392" w:name="_Toc530"/>
      <w:r>
        <w:rPr>
          <w:rFonts w:hint="eastAsia" w:ascii="仿宋_GB2312" w:hAnsi="仿宋_GB2312" w:eastAsia="仿宋_GB2312" w:cs="仿宋_GB2312"/>
          <w:b/>
          <w:bCs/>
          <w:color w:val="333333"/>
          <w:sz w:val="32"/>
          <w:szCs w:val="32"/>
          <w:shd w:val="clear" w:color="auto" w:fill="FFFFFF"/>
        </w:rPr>
        <w:t>第二章 风险控制管理的基本要求与流程</w:t>
      </w:r>
      <w:bookmarkEnd w:id="392"/>
    </w:p>
    <w:p w14:paraId="72833AB8">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第五条</w:t>
      </w:r>
      <w:r>
        <w:rPr>
          <w:rFonts w:hint="eastAsia" w:ascii="仿宋_GB2312" w:hAnsi="仿宋_GB2312" w:eastAsia="仿宋_GB2312" w:cs="仿宋_GB2312"/>
          <w:color w:val="333333"/>
          <w:sz w:val="32"/>
          <w:szCs w:val="32"/>
          <w:shd w:val="clear" w:color="auto" w:fill="FFFFFF"/>
        </w:rPr>
        <w:t xml:space="preserve"> 风险控制管理应当遵循健全、合理、有效、持续、独立、制衡的原则，确保风险管理的有效性。</w:t>
      </w:r>
    </w:p>
    <w:p w14:paraId="2F70A8B8">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第六条</w:t>
      </w:r>
      <w:r>
        <w:rPr>
          <w:rFonts w:hint="eastAsia" w:ascii="仿宋_GB2312" w:hAnsi="仿宋_GB2312" w:eastAsia="仿宋_GB2312" w:cs="仿宋_GB2312"/>
          <w:color w:val="333333"/>
          <w:sz w:val="32"/>
          <w:szCs w:val="32"/>
          <w:shd w:val="clear" w:color="auto" w:fill="FFFFFF"/>
        </w:rPr>
        <w:t xml:space="preserve"> 研究、制定与实施风险控制管理的方针、策略、制度与规则，更快更准地分析业务中的各类风险。</w:t>
      </w:r>
    </w:p>
    <w:p w14:paraId="100568B3">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第七条</w:t>
      </w:r>
      <w:r>
        <w:rPr>
          <w:rFonts w:hint="eastAsia" w:ascii="仿宋_GB2312" w:hAnsi="仿宋_GB2312" w:eastAsia="仿宋_GB2312" w:cs="仿宋_GB2312"/>
          <w:color w:val="333333"/>
          <w:sz w:val="32"/>
          <w:szCs w:val="32"/>
          <w:shd w:val="clear" w:color="auto" w:fill="FFFFFF"/>
        </w:rPr>
        <w:t xml:space="preserve"> 为适应风险控制管理而建立、实施风险评估体系，运用科学手段进行风险大小的测量与判断。</w:t>
      </w:r>
    </w:p>
    <w:p w14:paraId="3A8E43F0">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第八条</w:t>
      </w:r>
      <w:r>
        <w:rPr>
          <w:rFonts w:hint="eastAsia" w:ascii="仿宋_GB2312" w:hAnsi="仿宋_GB2312" w:eastAsia="仿宋_GB2312" w:cs="仿宋_GB2312"/>
          <w:color w:val="333333"/>
          <w:sz w:val="32"/>
          <w:szCs w:val="32"/>
          <w:shd w:val="clear" w:color="auto" w:fill="FFFFFF"/>
        </w:rPr>
        <w:t xml:space="preserve"> 建立与实施风险监控、预警与报告制度。</w:t>
      </w:r>
    </w:p>
    <w:p w14:paraId="7ED12EC4">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第九条</w:t>
      </w:r>
      <w:r>
        <w:rPr>
          <w:rFonts w:hint="eastAsia" w:ascii="仿宋_GB2312" w:hAnsi="仿宋_GB2312" w:eastAsia="仿宋_GB2312" w:cs="仿宋_GB2312"/>
          <w:color w:val="333333"/>
          <w:sz w:val="32"/>
          <w:szCs w:val="32"/>
          <w:shd w:val="clear" w:color="auto" w:fill="FFFFFF"/>
        </w:rPr>
        <w:t xml:space="preserve"> 风险处置实行及时、有效、审慎原则。</w:t>
      </w:r>
    </w:p>
    <w:p w14:paraId="39FC1A94">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第十条</w:t>
      </w:r>
      <w:r>
        <w:rPr>
          <w:rFonts w:hint="eastAsia" w:ascii="仿宋_GB2312" w:hAnsi="仿宋_GB2312" w:eastAsia="仿宋_GB2312" w:cs="仿宋_GB2312"/>
          <w:color w:val="333333"/>
          <w:sz w:val="32"/>
          <w:szCs w:val="32"/>
          <w:shd w:val="clear" w:color="auto" w:fill="FFFFFF"/>
        </w:rPr>
        <w:t xml:space="preserve"> 实行风险控制管理目标与结果的监督与考核制度。</w:t>
      </w:r>
    </w:p>
    <w:p w14:paraId="17945F88">
      <w:pPr>
        <w:pStyle w:val="13"/>
        <w:shd w:val="clear" w:color="auto" w:fill="FFFFFF"/>
        <w:spacing w:before="156" w:beforeLines="50" w:beforeAutospacing="0" w:after="156" w:afterLines="50" w:afterAutospacing="0" w:line="560" w:lineRule="exact"/>
        <w:jc w:val="center"/>
        <w:outlineLvl w:val="1"/>
        <w:rPr>
          <w:rFonts w:ascii="仿宋_GB2312" w:hAnsi="仿宋_GB2312" w:eastAsia="仿宋_GB2312" w:cs="仿宋_GB2312"/>
          <w:b/>
          <w:bCs/>
          <w:color w:val="333333"/>
          <w:sz w:val="32"/>
          <w:szCs w:val="32"/>
          <w:shd w:val="clear" w:color="auto" w:fill="FFFFFF"/>
        </w:rPr>
      </w:pPr>
      <w:bookmarkStart w:id="393" w:name="_Toc19561"/>
      <w:r>
        <w:rPr>
          <w:rFonts w:hint="eastAsia" w:ascii="仿宋_GB2312" w:hAnsi="仿宋_GB2312" w:eastAsia="仿宋_GB2312" w:cs="仿宋_GB2312"/>
          <w:b/>
          <w:bCs/>
          <w:color w:val="333333"/>
          <w:sz w:val="32"/>
          <w:szCs w:val="32"/>
          <w:shd w:val="clear" w:color="auto" w:fill="FFFFFF"/>
        </w:rPr>
        <w:t>第三章 风险控制管理措施</w:t>
      </w:r>
      <w:bookmarkEnd w:id="393"/>
    </w:p>
    <w:p w14:paraId="3221ADFD">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第十一条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b/>
          <w:bCs/>
          <w:color w:val="333333"/>
          <w:sz w:val="32"/>
          <w:szCs w:val="32"/>
          <w:shd w:val="clear" w:color="auto" w:fill="FFFFFF"/>
        </w:rPr>
        <w:t>防范日常管理风险</w:t>
      </w:r>
    </w:p>
    <w:p w14:paraId="511C849F">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（一）农交中心组织开展日常交易活动应当符合农交中心管理办法及交易规则的相关规定。任何与规定不符者均应当予以有效纠正。</w:t>
      </w:r>
    </w:p>
    <w:p w14:paraId="4E18AD10">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（二）在农交中心进行的日常交易活动，若被任何人发现存在与农交中心规定不符者，均有权向农交中心举报，并可将有关纠正违规行为的意见或建议反映给农交中心。</w:t>
      </w:r>
    </w:p>
    <w:p w14:paraId="23B42ED5">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（三）农交中心对中心发现的或者获知的任何违规行为，均应及时地研究解决。并制订相关奖励规定以鼓励交易参与者或消息提供人协助维护农交中心日常经营活动的依法合规性。</w:t>
      </w:r>
    </w:p>
    <w:p w14:paraId="52756A0F">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（四）撰写工作日志和其他业务活动记录，并作为档案资料长期保存。</w:t>
      </w:r>
    </w:p>
    <w:p w14:paraId="7D72A2A1">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（五）收集与整理农交中心风险控制管理统计资料，定期编写风险评估报告，以供不断改进和完善农交中心风险管理控制体系。</w:t>
      </w:r>
    </w:p>
    <w:p w14:paraId="31D5EAE2">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第十二条 防范法律风险</w:t>
      </w:r>
    </w:p>
    <w:p w14:paraId="76A0A542">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一）农交中心制定各项制度与规则或规范，均应当符合法律规定，防止由此产生的整体法律风险。农交中心制定各项制度与规则均经由董事会审批方可生效及颁布实施，以保证符合法律规定，防止由此产生的整体法律风险。</w:t>
      </w:r>
    </w:p>
    <w:p w14:paraId="0BF0C7EC">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（二）农交中心随时跟踪、深入研究相关法律法规及监管政策，制定风险防范和应急预案，及时调整经营战略以适应政策变化。</w:t>
      </w:r>
    </w:p>
    <w:p w14:paraId="2F324E6D">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农交中心组织开展的各类及各项交易活动，包括但不限于组织各类信息发布、意向受让方登记及资格确认、组织各方签订交易合同、结算、出具交易凭证等，均应当符合农交中心制定的管理办法和交易规则，防止由此产生的交易活动合规性或有效性等风险。</w:t>
      </w:r>
    </w:p>
    <w:p w14:paraId="37F76D16">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b/>
          <w:bCs/>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b/>
          <w:bCs/>
          <w:color w:val="333333"/>
          <w:sz w:val="32"/>
          <w:szCs w:val="32"/>
          <w:shd w:val="clear" w:color="auto" w:fill="FFFFFF"/>
        </w:rPr>
        <w:t>防范道德风险</w:t>
      </w:r>
    </w:p>
    <w:p w14:paraId="2A20B564">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一）交易活动将会涉及重大商业秘密、重大资金交收、重大资产处置等，除防范法律风险及加强行为合规性监管外，以良好的职业道德标准要求及规范交易活动重要环节的每个参与者的行为，是防范道德风险中心应有及必须。</w:t>
      </w:r>
    </w:p>
    <w:p w14:paraId="43DB9359">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（二）为控制道德风险，农交中心强化道德教育和员工自律管理，并适当提高道德违约成本。</w:t>
      </w:r>
    </w:p>
    <w:p w14:paraId="59B084E3">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（三）农交中心将建立准入及禁止准入制度规范，对交易参与者、农交中心各岗位制订完整的准入及禁止准入标准体系，以充分地防范道德风险。</w:t>
      </w:r>
    </w:p>
    <w:p w14:paraId="63E6E436">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第十四条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b/>
          <w:bCs/>
          <w:color w:val="333333"/>
          <w:sz w:val="32"/>
          <w:szCs w:val="32"/>
          <w:shd w:val="clear" w:color="auto" w:fill="FFFFFF"/>
        </w:rPr>
        <w:t>防范资金风险</w:t>
      </w:r>
    </w:p>
    <w:p w14:paraId="2BCDCD1A">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（一）按照农交中心制定的结算管理办法和交易规则的规定，进行交易相关资金的收付。</w:t>
      </w:r>
    </w:p>
    <w:p w14:paraId="11421DFD">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（二）农交中心的任何一项资金的收付均只应当由财务专职人员亲自进行，并须由其本人签署。</w:t>
      </w:r>
    </w:p>
    <w:p w14:paraId="30852796">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（三）交易相关资金的收付与结算，应由财务部门负责人员审核，上报总经理签批。</w:t>
      </w:r>
    </w:p>
    <w:p w14:paraId="7F4C7390">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（四）农交中心按照资金性质分别开立银行账户，实行资金分类管理与收付。</w:t>
      </w:r>
    </w:p>
    <w:p w14:paraId="32FA65DB">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（五）交易保证金、待结转的交易价款、交易参与者赔偿金等，均属于专项资金，应当与农交中心自有资金分别存放保管，严禁混同或交叉使用。</w:t>
      </w:r>
    </w:p>
    <w:p w14:paraId="4B2256DA">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第十五条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b/>
          <w:bCs/>
          <w:color w:val="333333"/>
          <w:sz w:val="32"/>
          <w:szCs w:val="32"/>
          <w:shd w:val="clear" w:color="auto" w:fill="FFFFFF"/>
        </w:rPr>
        <w:t>防范交易风险</w:t>
      </w:r>
    </w:p>
    <w:p w14:paraId="7F6AD04B">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（一）各部门应在农交中心管理办法和交易规则的指导下，制定完备、详尽的业务流程，对特别重要的环节建立必要的复核制度。</w:t>
      </w:r>
    </w:p>
    <w:p w14:paraId="3FC5CB0D">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（二）严格按照农交中心管理办法和交易规则对出让方、转出标的进行审核，保证出让方自愿的转出意愿、转出标的权属明确，使其交易行为具有合法性、合规性。</w:t>
      </w:r>
    </w:p>
    <w:p w14:paraId="220B8AAA">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（三）严格按照农交中心管理办法和交易规则征集、登记意向受让方，审核意向受让方的经营能力等资格条件，保证交易公平、顺利地进行。</w:t>
      </w:r>
    </w:p>
    <w:p w14:paraId="2FD3668A">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（四）严格按照公开竞价方式组织竞价交易，保证交易的公开性、公平性、公正性。</w:t>
      </w:r>
    </w:p>
    <w:p w14:paraId="5C117A3F">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（五）建立完善的交易参与者信息档案管理与保密制度，严禁重要信息外泄。</w:t>
      </w:r>
    </w:p>
    <w:p w14:paraId="258BB2F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b/>
          <w:bCs/>
          <w:color w:val="333333"/>
          <w:sz w:val="32"/>
          <w:szCs w:val="32"/>
          <w:shd w:val="clear" w:color="auto" w:fill="FFFFFF"/>
        </w:rPr>
        <w:t>防范系统风险</w:t>
      </w:r>
    </w:p>
    <w:p w14:paraId="7B5E16D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农交中心作为交易活动的组织者，提供交易的规则体系、资金收付与结算体系、公开竞价体系等，并与交易活动的各环节相互关联。为此将严格防范其中各体系的风险，并将对该体系的设计、实施、监管等予以严格审查与监管，以有效避免系统性风险；</w:t>
      </w:r>
    </w:p>
    <w:p w14:paraId="639EC67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（二）严格执行部门的职责及权限划分制度、交易参与者交易权限审核管理相关规则，以防范风险传递。</w:t>
      </w:r>
    </w:p>
    <w:p w14:paraId="1D27995D">
      <w:pPr>
        <w:pStyle w:val="13"/>
        <w:shd w:val="clear" w:color="auto" w:fill="FFFFFF"/>
        <w:spacing w:beforeAutospacing="0" w:afterAutospacing="0" w:line="560" w:lineRule="exact"/>
        <w:ind w:firstLine="643"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第十七条</w:t>
      </w:r>
      <w:r>
        <w:rPr>
          <w:rFonts w:hint="eastAsia" w:ascii="仿宋_GB2312" w:hAnsi="仿宋_GB2312" w:eastAsia="仿宋_GB2312" w:cs="仿宋_GB2312"/>
          <w:color w:val="333333"/>
          <w:sz w:val="32"/>
          <w:szCs w:val="32"/>
          <w:shd w:val="clear" w:color="auto" w:fill="FFFFFF"/>
        </w:rPr>
        <w:t xml:space="preserve"> 农交中心应不断研究并完善制定风险防范的有效措施，并加以整理进而修改、完善本制度。</w:t>
      </w:r>
    </w:p>
    <w:p w14:paraId="7A8066DE">
      <w:pPr>
        <w:pStyle w:val="13"/>
        <w:shd w:val="clear" w:color="auto" w:fill="FFFFFF"/>
        <w:spacing w:before="156" w:beforeLines="50" w:beforeAutospacing="0" w:after="156" w:afterLines="50" w:afterAutospacing="0" w:line="560" w:lineRule="exact"/>
        <w:jc w:val="center"/>
        <w:outlineLvl w:val="1"/>
        <w:rPr>
          <w:rFonts w:hint="eastAsia" w:ascii="仿宋_GB2312" w:hAnsi="仿宋_GB2312" w:eastAsia="仿宋_GB2312" w:cs="仿宋_GB2312"/>
          <w:b/>
          <w:bCs/>
          <w:color w:val="333333"/>
          <w:sz w:val="32"/>
          <w:szCs w:val="32"/>
          <w:shd w:val="clear" w:color="auto" w:fill="FFFFFF"/>
        </w:rPr>
      </w:pPr>
      <w:bookmarkStart w:id="394" w:name="_Toc18096"/>
      <w:r>
        <w:rPr>
          <w:rFonts w:hint="eastAsia" w:ascii="仿宋_GB2312" w:hAnsi="仿宋_GB2312" w:eastAsia="仿宋_GB2312" w:cs="仿宋_GB2312"/>
          <w:b/>
          <w:bCs/>
          <w:color w:val="333333"/>
          <w:sz w:val="32"/>
          <w:szCs w:val="32"/>
          <w:shd w:val="clear" w:color="auto" w:fill="FFFFFF"/>
        </w:rPr>
        <w:t>第四章 风险评估管理</w:t>
      </w:r>
      <w:bookmarkEnd w:id="394"/>
    </w:p>
    <w:p w14:paraId="42511832">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第十八条</w:t>
      </w:r>
      <w:r>
        <w:rPr>
          <w:rFonts w:hint="eastAsia" w:ascii="仿宋_GB2312" w:hAnsi="仿宋_GB2312" w:eastAsia="仿宋_GB2312" w:cs="仿宋_GB2312"/>
          <w:color w:val="333333"/>
          <w:sz w:val="32"/>
          <w:szCs w:val="32"/>
          <w:shd w:val="clear" w:color="auto" w:fill="FFFFFF"/>
        </w:rPr>
        <w:t xml:space="preserve"> 农交中心设立风险控制管理部门，作为农交中心风险控制管理的专职部门，负责评估各类风险，协助管理层决策，消除危机，降低风险，其主要职责包括：</w:t>
      </w:r>
    </w:p>
    <w:p w14:paraId="3C1A04B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（一）建立健全风险识别、风险评估和衡量、风险应对、风险监测、风险报告的循环处理及反馈流程，并协助管理层将其整合、落实到各岗位以及业务流程之中。</w:t>
      </w:r>
    </w:p>
    <w:p w14:paraId="4D32BB9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（二）组织各部门定期识别、分析各个岗位和业务流程中的风险，进行评估并提出控制措施的建议。</w:t>
      </w:r>
    </w:p>
    <w:p w14:paraId="2E52652C">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（三）汇总各部门的风险评估报告，展开相应的评估研究，向管理层提交战略风险评估报告及相应的防范措施。</w:t>
      </w:r>
    </w:p>
    <w:p w14:paraId="2A000501">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（四）检查各部门对风险评估的实施情况，提出完善建议并督促执行。</w:t>
      </w:r>
    </w:p>
    <w:p w14:paraId="5DCCBDCB">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第十九条</w:t>
      </w:r>
      <w:r>
        <w:rPr>
          <w:rFonts w:hint="eastAsia" w:ascii="仿宋_GB2312" w:hAnsi="仿宋_GB2312" w:eastAsia="仿宋_GB2312" w:cs="仿宋_GB2312"/>
          <w:color w:val="333333"/>
          <w:sz w:val="32"/>
          <w:szCs w:val="32"/>
          <w:shd w:val="clear" w:color="auto" w:fill="FFFFFF"/>
        </w:rPr>
        <w:t xml:space="preserve"> 农交中心各职能部门作为风险控制管理工作的最终落实部门，应当根据本制度要求，制订各自的风险评估管理办法，其主要职责包括：</w:t>
      </w:r>
    </w:p>
    <w:p w14:paraId="129A0B10">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（一）协助、配合风险控制部门，定期进行本部门各岗位以及业务流程风险点的识别、分析以及评估。</w:t>
      </w:r>
    </w:p>
    <w:p w14:paraId="3AA71105">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（二）保持与管理层和风险控制部门的信息沟通，汇报在运作过程中出现的风险及其可能的解决方案，向风险控制部门提交风险评估报告。</w:t>
      </w:r>
    </w:p>
    <w:p w14:paraId="3644CD1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（三）定期总结本部门风险评估的实施情况，向管理层和风险控制部门提供反馈意见。</w:t>
      </w:r>
    </w:p>
    <w:p w14:paraId="087D2196">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第二十条</w:t>
      </w:r>
      <w:r>
        <w:rPr>
          <w:rFonts w:hint="eastAsia" w:ascii="仿宋_GB2312" w:hAnsi="仿宋_GB2312" w:eastAsia="仿宋_GB2312" w:cs="仿宋_GB2312"/>
          <w:color w:val="333333"/>
          <w:sz w:val="32"/>
          <w:szCs w:val="32"/>
          <w:shd w:val="clear" w:color="auto" w:fill="FFFFFF"/>
        </w:rPr>
        <w:t xml:space="preserve"> 农交中心将适时聘请专业评估机构及相关人士，协助农交中心做好风险评估工作。</w:t>
      </w:r>
    </w:p>
    <w:p w14:paraId="437E2161">
      <w:pPr>
        <w:pStyle w:val="13"/>
        <w:shd w:val="clear" w:color="auto" w:fill="FFFFFF"/>
        <w:spacing w:before="156" w:beforeLines="50" w:beforeAutospacing="0" w:after="156" w:afterLines="50" w:afterAutospacing="0" w:line="560" w:lineRule="exact"/>
        <w:jc w:val="center"/>
        <w:outlineLvl w:val="1"/>
        <w:rPr>
          <w:rFonts w:ascii="仿宋_GB2312" w:hAnsi="仿宋_GB2312" w:eastAsia="仿宋_GB2312" w:cs="仿宋_GB2312"/>
          <w:b/>
          <w:bCs/>
          <w:color w:val="333333"/>
          <w:sz w:val="32"/>
          <w:szCs w:val="32"/>
          <w:shd w:val="clear" w:color="auto" w:fill="FFFFFF"/>
        </w:rPr>
      </w:pPr>
      <w:bookmarkStart w:id="395" w:name="_Toc8998"/>
      <w:r>
        <w:rPr>
          <w:rFonts w:hint="eastAsia" w:ascii="仿宋_GB2312" w:hAnsi="仿宋_GB2312" w:eastAsia="仿宋_GB2312" w:cs="仿宋_GB2312"/>
          <w:b/>
          <w:bCs/>
          <w:color w:val="333333"/>
          <w:sz w:val="32"/>
          <w:szCs w:val="32"/>
          <w:shd w:val="clear" w:color="auto" w:fill="FFFFFF"/>
        </w:rPr>
        <w:t>第五章 应急预案管理</w:t>
      </w:r>
      <w:bookmarkEnd w:id="395"/>
    </w:p>
    <w:p w14:paraId="58D34E51">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    第二十一条</w:t>
      </w:r>
      <w:r>
        <w:rPr>
          <w:rFonts w:hint="eastAsia" w:ascii="仿宋_GB2312" w:hAnsi="仿宋_GB2312" w:eastAsia="仿宋_GB2312" w:cs="仿宋_GB2312"/>
          <w:color w:val="333333"/>
          <w:sz w:val="32"/>
          <w:szCs w:val="32"/>
          <w:shd w:val="clear" w:color="auto" w:fill="FFFFFF"/>
        </w:rPr>
        <w:t xml:space="preserve"> 针对存在的各种风险，由农交中心管理层组织风险控制部门编制综合应急预案，报董事会批准。</w:t>
      </w:r>
    </w:p>
    <w:p w14:paraId="3D706F97">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第二十二条</w:t>
      </w:r>
      <w:r>
        <w:rPr>
          <w:rFonts w:hint="eastAsia" w:ascii="仿宋_GB2312" w:hAnsi="仿宋_GB2312" w:eastAsia="仿宋_GB2312" w:cs="仿宋_GB2312"/>
          <w:color w:val="333333"/>
          <w:sz w:val="32"/>
          <w:szCs w:val="32"/>
          <w:shd w:val="clear" w:color="auto" w:fill="FFFFFF"/>
        </w:rPr>
        <w:t xml:space="preserve"> 应急预案通过审核批准后，农交中心应将其报上级主管部门备案。</w:t>
      </w:r>
    </w:p>
    <w:p w14:paraId="1D75B87E">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第二十三条</w:t>
      </w:r>
      <w:r>
        <w:rPr>
          <w:rFonts w:hint="eastAsia" w:ascii="仿宋_GB2312" w:hAnsi="仿宋_GB2312" w:eastAsia="仿宋_GB2312" w:cs="仿宋_GB2312"/>
          <w:color w:val="333333"/>
          <w:sz w:val="32"/>
          <w:szCs w:val="32"/>
          <w:shd w:val="clear" w:color="auto" w:fill="FFFFFF"/>
        </w:rPr>
        <w:t xml:space="preserve"> 风险控制部门应定期组织各部门开展应急预案培训活动，使有关人员了解应急预案内容，熟悉应急职责，提高员工的风险意识和危机处理技能。</w:t>
      </w:r>
    </w:p>
    <w:p w14:paraId="48337BEF">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第二十四条</w:t>
      </w:r>
      <w:r>
        <w:rPr>
          <w:rFonts w:hint="eastAsia" w:ascii="仿宋_GB2312" w:hAnsi="仿宋_GB2312" w:eastAsia="仿宋_GB2312" w:cs="仿宋_GB2312"/>
          <w:color w:val="333333"/>
          <w:sz w:val="32"/>
          <w:szCs w:val="32"/>
          <w:shd w:val="clear" w:color="auto" w:fill="FFFFFF"/>
        </w:rPr>
        <w:t xml:space="preserve"> 根据农交中心的营运和发展情况，农交中心将适时、适当地修订应急预案。应急预案修订后应重新报上级主管部门备案。</w:t>
      </w:r>
    </w:p>
    <w:p w14:paraId="7A266892">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第二十五条</w:t>
      </w:r>
      <w:r>
        <w:rPr>
          <w:rFonts w:hint="eastAsia" w:ascii="仿宋_GB2312" w:hAnsi="仿宋_GB2312" w:eastAsia="仿宋_GB2312" w:cs="仿宋_GB2312"/>
          <w:color w:val="333333"/>
          <w:sz w:val="32"/>
          <w:szCs w:val="32"/>
          <w:shd w:val="clear" w:color="auto" w:fill="FFFFFF"/>
        </w:rPr>
        <w:t xml:space="preserve"> 农交中心将适时聘请专业机构及相关人士，协助农交中心做好应急预案管理工作。</w:t>
      </w:r>
    </w:p>
    <w:p w14:paraId="2E86A6B2">
      <w:pPr>
        <w:pStyle w:val="13"/>
        <w:shd w:val="clear" w:color="auto" w:fill="FFFFFF"/>
        <w:spacing w:before="156" w:beforeLines="50" w:beforeAutospacing="0" w:after="156" w:afterLines="50" w:afterAutospacing="0" w:line="560" w:lineRule="exact"/>
        <w:jc w:val="center"/>
        <w:outlineLvl w:val="1"/>
        <w:rPr>
          <w:rFonts w:ascii="仿宋_GB2312" w:hAnsi="仿宋_GB2312" w:eastAsia="仿宋_GB2312" w:cs="仿宋_GB2312"/>
          <w:b/>
          <w:bCs/>
          <w:color w:val="333333"/>
          <w:sz w:val="32"/>
          <w:szCs w:val="32"/>
          <w:shd w:val="clear" w:color="auto" w:fill="FFFFFF"/>
        </w:rPr>
      </w:pPr>
      <w:bookmarkStart w:id="396" w:name="_Toc26193"/>
      <w:r>
        <w:rPr>
          <w:rFonts w:hint="eastAsia" w:ascii="仿宋_GB2312" w:hAnsi="仿宋_GB2312" w:eastAsia="仿宋_GB2312" w:cs="仿宋_GB2312"/>
          <w:b/>
          <w:bCs/>
          <w:color w:val="333333"/>
          <w:sz w:val="32"/>
          <w:szCs w:val="32"/>
          <w:shd w:val="clear" w:color="auto" w:fill="FFFFFF"/>
        </w:rPr>
        <w:t>第六章 附  则</w:t>
      </w:r>
      <w:bookmarkEnd w:id="396"/>
    </w:p>
    <w:p w14:paraId="7EB5C5AA">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第二十六条</w:t>
      </w:r>
      <w:r>
        <w:rPr>
          <w:rFonts w:hint="eastAsia" w:ascii="仿宋_GB2312" w:hAnsi="仿宋_GB2312" w:eastAsia="仿宋_GB2312" w:cs="仿宋_GB2312"/>
          <w:color w:val="333333"/>
          <w:sz w:val="32"/>
          <w:szCs w:val="32"/>
          <w:shd w:val="clear" w:color="auto" w:fill="FFFFFF"/>
        </w:rPr>
        <w:t xml:space="preserve"> 本制度解释权属于石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w:t>
      </w:r>
    </w:p>
    <w:p w14:paraId="1E6D0425">
      <w:pPr>
        <w:pStyle w:val="13"/>
        <w:shd w:val="clear" w:color="auto" w:fill="FFFFFF"/>
        <w:spacing w:beforeAutospacing="0" w:afterAutospacing="0" w:line="560" w:lineRule="exact"/>
        <w:ind w:firstLine="643"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第二十七条</w:t>
      </w:r>
      <w:r>
        <w:rPr>
          <w:rFonts w:hint="eastAsia" w:ascii="仿宋_GB2312" w:hAnsi="仿宋_GB2312" w:eastAsia="仿宋_GB2312" w:cs="仿宋_GB2312"/>
          <w:color w:val="333333"/>
          <w:sz w:val="32"/>
          <w:szCs w:val="32"/>
          <w:shd w:val="clear" w:color="auto" w:fill="FFFFFF"/>
        </w:rPr>
        <w:t xml:space="preserve"> 本制度自发布之日起试行。</w:t>
      </w:r>
    </w:p>
    <w:p w14:paraId="03801FF5">
      <w:pPr>
        <w:shd w:val="clear" w:color="auto" w:fill="FFFFFF"/>
        <w:spacing w:line="560" w:lineRule="exact"/>
        <w:jc w:val="center"/>
        <w:rPr>
          <w:rFonts w:ascii="Times New Roman" w:hAnsi="Times New Roman" w:eastAsia="仿宋_GB2312" w:cs="Times New Roman"/>
          <w:b/>
          <w:bCs/>
          <w:sz w:val="32"/>
          <w:szCs w:val="32"/>
        </w:rPr>
      </w:pPr>
      <w:r>
        <w:rPr>
          <w:rStyle w:val="18"/>
          <w:rFonts w:hint="eastAsia" w:ascii="微软雅黑" w:hAnsi="微软雅黑" w:eastAsia="微软雅黑" w:cs="微软雅黑"/>
          <w:b w:val="0"/>
          <w:bCs/>
          <w:color w:val="333333"/>
          <w:sz w:val="44"/>
          <w:szCs w:val="44"/>
          <w:shd w:val="clear" w:color="auto" w:fill="FFFFFF"/>
        </w:rPr>
        <w:br w:type="page"/>
      </w:r>
      <w:bookmarkStart w:id="397" w:name="_Toc3866"/>
      <w:bookmarkStart w:id="398" w:name="_Toc8570"/>
      <w:bookmarkStart w:id="399" w:name="_Toc20336"/>
      <w:bookmarkStart w:id="400" w:name="_Toc30304"/>
      <w:bookmarkStart w:id="401" w:name="_Toc17153"/>
      <w:bookmarkStart w:id="402" w:name="_Toc17075"/>
      <w:bookmarkStart w:id="403" w:name="_Toc9040"/>
      <w:bookmarkStart w:id="404" w:name="_Toc1248"/>
      <w:bookmarkStart w:id="405" w:name="_Toc18919"/>
      <w:bookmarkStart w:id="406" w:name="_Toc24597"/>
      <w:bookmarkStart w:id="407" w:name="_Toc5785"/>
      <w:bookmarkStart w:id="408" w:name="_Toc25535"/>
      <w:bookmarkStart w:id="409" w:name="_Toc9180"/>
      <w:bookmarkStart w:id="410" w:name="_Toc26917"/>
      <w:bookmarkStart w:id="411" w:name="_Toc26996"/>
      <w:bookmarkStart w:id="412" w:name="_Toc9047"/>
      <w:bookmarkStart w:id="413" w:name="_Toc12106"/>
    </w:p>
    <w:p w14:paraId="6556ACF5">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49361141">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交易资金结算管理办法（试行）</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3A40C880">
      <w:pPr>
        <w:pStyle w:val="13"/>
        <w:shd w:val="clear" w:color="auto" w:fill="FFFFFF"/>
        <w:spacing w:beforeAutospacing="0" w:afterAutospacing="0" w:line="560" w:lineRule="exact"/>
        <w:ind w:firstLine="640" w:firstLineChars="200"/>
        <w:jc w:val="center"/>
        <w:rPr>
          <w:rStyle w:val="18"/>
          <w:rFonts w:ascii="黑体" w:hAnsi="黑体" w:eastAsia="黑体" w:cs="黑体"/>
          <w:b w:val="0"/>
          <w:bCs/>
          <w:color w:val="333333"/>
          <w:sz w:val="32"/>
          <w:szCs w:val="32"/>
          <w:shd w:val="clear" w:color="auto" w:fill="FFFFFF"/>
        </w:rPr>
      </w:pPr>
    </w:p>
    <w:p w14:paraId="6258A0D4">
      <w:pPr>
        <w:pStyle w:val="13"/>
        <w:shd w:val="clear" w:color="auto" w:fill="FFFFFF"/>
        <w:spacing w:beforeAutospacing="0" w:afterAutospacing="0" w:line="560" w:lineRule="exact"/>
        <w:jc w:val="center"/>
        <w:outlineLvl w:val="1"/>
        <w:rPr>
          <w:rFonts w:ascii="方正仿宋_GB2312" w:hAnsi="方正仿宋_GB2312" w:eastAsia="方正仿宋_GB2312" w:cs="方正仿宋_GB2312"/>
          <w:bCs/>
          <w:color w:val="333333"/>
          <w:sz w:val="32"/>
          <w:szCs w:val="32"/>
        </w:rPr>
      </w:pPr>
      <w:bookmarkStart w:id="414" w:name="_Toc25609"/>
      <w:r>
        <w:rPr>
          <w:rStyle w:val="18"/>
          <w:rFonts w:hint="eastAsia" w:ascii="黑体" w:hAnsi="黑体" w:eastAsia="黑体" w:cs="黑体"/>
          <w:b w:val="0"/>
          <w:bCs/>
          <w:color w:val="333333"/>
          <w:sz w:val="32"/>
          <w:szCs w:val="32"/>
          <w:shd w:val="clear" w:color="auto" w:fill="FFFFFF"/>
        </w:rPr>
        <w:t>第一章  总  则</w:t>
      </w:r>
      <w:bookmarkEnd w:id="414"/>
    </w:p>
    <w:p w14:paraId="7D1EC60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 xml:space="preserve"> 第一条</w:t>
      </w:r>
      <w:r>
        <w:rPr>
          <w:rFonts w:hint="eastAsia" w:ascii="仿宋_GB2312" w:hAnsi="仿宋_GB2312" w:eastAsia="仿宋_GB2312" w:cs="仿宋_GB2312"/>
          <w:color w:val="333333"/>
          <w:sz w:val="32"/>
          <w:szCs w:val="32"/>
          <w:shd w:val="clear" w:color="auto" w:fill="FFFFFF"/>
        </w:rPr>
        <w:t xml:space="preserve"> 为规范石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农村产权交易中心（以下简称“农交中心”）农村产权转出交易资金结算行为，促进农村产权交易</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场健康发展，根据《石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农村产权交易中心农村产权流转交易规则（试行）》《石</w:t>
      </w:r>
      <w:r>
        <w:rPr>
          <w:rFonts w:hint="eastAsia" w:ascii="___WRD_EMBED_SUB_45" w:hAnsi="___WRD_EMBED_SUB_45" w:eastAsia="___WRD_EMBED_SUB_45" w:cs="___WRD_EMBED_SUB_45"/>
          <w:color w:val="333333"/>
          <w:sz w:val="32"/>
          <w:szCs w:val="32"/>
          <w:shd w:val="clear" w:color="auto" w:fill="FFFFFF"/>
        </w:rPr>
        <w:t>门县</w:t>
      </w:r>
      <w:r>
        <w:rPr>
          <w:rFonts w:hint="eastAsia" w:ascii="仿宋_GB2312" w:hAnsi="仿宋_GB2312" w:eastAsia="仿宋_GB2312" w:cs="仿宋_GB2312"/>
          <w:color w:val="333333"/>
          <w:sz w:val="32"/>
          <w:szCs w:val="32"/>
          <w:shd w:val="clear" w:color="auto" w:fill="FFFFFF"/>
        </w:rPr>
        <w:t>农村产权交易中心交易保证金操作细则（试行）》有关规定，制定本管理办法。</w:t>
      </w:r>
    </w:p>
    <w:p w14:paraId="20A09CD1">
      <w:pPr>
        <w:pStyle w:val="13"/>
        <w:shd w:val="clear" w:color="auto" w:fill="FFFFFF"/>
        <w:spacing w:beforeAutospacing="0" w:afterAutospacing="0" w:line="560" w:lineRule="exact"/>
        <w:rPr>
          <w:rStyle w:val="18"/>
          <w:rFonts w:ascii="仿宋_GB2312" w:hAnsi="仿宋_GB2312" w:eastAsia="仿宋_GB2312" w:cs="仿宋_GB2312"/>
          <w:b w:val="0"/>
          <w:bCs/>
          <w:color w:val="333333"/>
          <w:sz w:val="32"/>
          <w:szCs w:val="32"/>
          <w:shd w:val="clear" w:color="auto" w:fill="FFFFFF"/>
        </w:rPr>
      </w:pPr>
      <w:r>
        <w:rPr>
          <w:rStyle w:val="18"/>
          <w:rFonts w:hint="eastAsia" w:ascii="仿宋_GB2312" w:hAnsi="仿宋_GB2312" w:eastAsia="仿宋_GB2312" w:cs="仿宋_GB2312"/>
          <w:color w:val="333333"/>
          <w:sz w:val="32"/>
          <w:szCs w:val="32"/>
          <w:shd w:val="clear" w:color="auto" w:fill="FFFFFF"/>
        </w:rPr>
        <w:t xml:space="preserve">   </w:t>
      </w:r>
      <w:r>
        <w:rPr>
          <w:rStyle w:val="18"/>
          <w:rFonts w:hint="eastAsia" w:ascii="仿宋_GB2312" w:hAnsi="仿宋_GB2312" w:eastAsia="仿宋_GB2312" w:cs="仿宋_GB2312"/>
          <w:b w:val="0"/>
          <w:bCs/>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第二条</w:t>
      </w:r>
      <w:r>
        <w:rPr>
          <w:rStyle w:val="18"/>
          <w:rFonts w:hint="eastAsia" w:ascii="仿宋_GB2312" w:hAnsi="仿宋_GB2312" w:eastAsia="仿宋_GB2312" w:cs="仿宋_GB2312"/>
          <w:b w:val="0"/>
          <w:bCs/>
          <w:color w:val="333333"/>
          <w:sz w:val="32"/>
          <w:szCs w:val="32"/>
          <w:shd w:val="clear" w:color="auto" w:fill="FFFFFF"/>
        </w:rPr>
        <w:t xml:space="preserve"> 本制度所称的交易资金包括交易保证金和产权交易价款。</w:t>
      </w:r>
    </w:p>
    <w:p w14:paraId="4CACCB7A">
      <w:pPr>
        <w:pStyle w:val="13"/>
        <w:shd w:val="clear" w:color="auto" w:fill="FFFFFF"/>
        <w:spacing w:beforeAutospacing="0" w:afterAutospacing="0" w:line="560" w:lineRule="exact"/>
        <w:rPr>
          <w:rStyle w:val="18"/>
          <w:rFonts w:ascii="仿宋_GB2312" w:hAnsi="仿宋_GB2312" w:eastAsia="仿宋_GB2312" w:cs="仿宋_GB2312"/>
          <w:b w:val="0"/>
          <w:bCs/>
          <w:color w:val="333333"/>
          <w:sz w:val="32"/>
          <w:szCs w:val="32"/>
          <w:shd w:val="clear" w:color="auto" w:fill="FFFFFF"/>
        </w:rPr>
      </w:pPr>
      <w:r>
        <w:rPr>
          <w:rStyle w:val="18"/>
          <w:rFonts w:hint="eastAsia" w:ascii="仿宋_GB2312" w:hAnsi="仿宋_GB2312" w:eastAsia="仿宋_GB2312" w:cs="仿宋_GB2312"/>
          <w:b w:val="0"/>
          <w:bCs/>
          <w:color w:val="333333"/>
          <w:sz w:val="32"/>
          <w:szCs w:val="32"/>
          <w:shd w:val="clear" w:color="auto" w:fill="FFFFFF"/>
        </w:rPr>
        <w:t xml:space="preserve">    交易保证金是意向受让方按照农交中心交易信息公告的约定，向农交中心交纳的用于保证意向受让方遵守交易规则、履行承诺的货币资金。</w:t>
      </w:r>
    </w:p>
    <w:p w14:paraId="1C06E116">
      <w:pPr>
        <w:pStyle w:val="13"/>
        <w:shd w:val="clear" w:color="auto" w:fill="FFFFFF"/>
        <w:spacing w:beforeAutospacing="0" w:afterAutospacing="0" w:line="560" w:lineRule="exact"/>
        <w:rPr>
          <w:rStyle w:val="18"/>
          <w:rFonts w:ascii="仿宋_GB2312" w:hAnsi="仿宋_GB2312" w:eastAsia="仿宋_GB2312" w:cs="仿宋_GB2312"/>
          <w:b w:val="0"/>
          <w:bCs/>
          <w:color w:val="333333"/>
          <w:sz w:val="32"/>
          <w:szCs w:val="32"/>
          <w:shd w:val="clear" w:color="auto" w:fill="FFFFFF"/>
        </w:rPr>
      </w:pPr>
      <w:r>
        <w:rPr>
          <w:rStyle w:val="18"/>
          <w:rFonts w:hint="eastAsia" w:ascii="仿宋_GB2312" w:hAnsi="仿宋_GB2312" w:eastAsia="仿宋_GB2312" w:cs="仿宋_GB2312"/>
          <w:b w:val="0"/>
          <w:bCs/>
          <w:color w:val="333333"/>
          <w:sz w:val="32"/>
          <w:szCs w:val="32"/>
          <w:shd w:val="clear" w:color="auto" w:fill="FFFFFF"/>
        </w:rPr>
        <w:t xml:space="preserve">    产权交易价款是受让方根据农村产权交易合同的约定，通过农交中心向出让方支付用于购买转出标的的货币资金。</w:t>
      </w:r>
    </w:p>
    <w:p w14:paraId="4EF5D3B2">
      <w:pPr>
        <w:pStyle w:val="13"/>
        <w:shd w:val="clear" w:color="auto" w:fill="FFFFFF"/>
        <w:spacing w:beforeAutospacing="0" w:afterAutospacing="0" w:line="560" w:lineRule="exact"/>
        <w:rPr>
          <w:rStyle w:val="18"/>
          <w:rFonts w:ascii="仿宋_GB2312" w:hAnsi="仿宋_GB2312" w:eastAsia="仿宋_GB2312" w:cs="仿宋_GB2312"/>
          <w:b w:val="0"/>
          <w:bCs/>
          <w:color w:val="333333"/>
          <w:sz w:val="32"/>
          <w:szCs w:val="32"/>
          <w:shd w:val="clear" w:color="auto" w:fill="FFFFFF"/>
        </w:rPr>
      </w:pPr>
      <w:r>
        <w:rPr>
          <w:rStyle w:val="18"/>
          <w:rFonts w:hint="eastAsia" w:ascii="仿宋_GB2312" w:hAnsi="仿宋_GB2312" w:eastAsia="仿宋_GB2312" w:cs="仿宋_GB2312"/>
          <w:b w:val="0"/>
          <w:bCs/>
          <w:color w:val="333333"/>
          <w:sz w:val="32"/>
          <w:szCs w:val="32"/>
          <w:shd w:val="clear" w:color="auto" w:fill="FFFFFF"/>
        </w:rPr>
        <w:t xml:space="preserve">    本制度所称的交易资金包括交易保证金和产权交易价款。</w:t>
      </w:r>
    </w:p>
    <w:p w14:paraId="47C7312D">
      <w:pPr>
        <w:pStyle w:val="13"/>
        <w:shd w:val="clear" w:color="auto" w:fill="FFFFFF"/>
        <w:spacing w:beforeAutospacing="0" w:afterAutospacing="0" w:line="560" w:lineRule="exact"/>
        <w:rPr>
          <w:rStyle w:val="18"/>
          <w:rFonts w:ascii="仿宋_GB2312" w:hAnsi="仿宋_GB2312" w:eastAsia="仿宋_GB2312" w:cs="仿宋_GB2312"/>
          <w:b w:val="0"/>
          <w:bCs/>
          <w:color w:val="333333"/>
          <w:sz w:val="32"/>
          <w:szCs w:val="32"/>
          <w:shd w:val="clear" w:color="auto" w:fill="FFFFFF"/>
        </w:rPr>
      </w:pPr>
      <w:r>
        <w:rPr>
          <w:rStyle w:val="18"/>
          <w:rFonts w:hint="eastAsia" w:ascii="仿宋_GB2312" w:hAnsi="仿宋_GB2312" w:eastAsia="仿宋_GB2312" w:cs="仿宋_GB2312"/>
          <w:b w:val="0"/>
          <w:bCs/>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 xml:space="preserve">第三条 </w:t>
      </w:r>
      <w:r>
        <w:rPr>
          <w:rStyle w:val="18"/>
          <w:rFonts w:hint="eastAsia" w:ascii="仿宋_GB2312" w:hAnsi="仿宋_GB2312" w:eastAsia="仿宋_GB2312" w:cs="仿宋_GB2312"/>
          <w:b w:val="0"/>
          <w:bCs/>
          <w:color w:val="333333"/>
          <w:sz w:val="32"/>
          <w:szCs w:val="32"/>
          <w:shd w:val="clear" w:color="auto" w:fill="FFFFFF"/>
        </w:rPr>
        <w:t>本制度适用于农交中心从事交易项目资金结算的全体工作人员。</w:t>
      </w:r>
    </w:p>
    <w:p w14:paraId="3FB65933">
      <w:pPr>
        <w:pStyle w:val="13"/>
        <w:shd w:val="clear" w:color="auto" w:fill="FFFFFF"/>
        <w:spacing w:beforeAutospacing="0" w:afterAutospacing="0" w:line="560" w:lineRule="exact"/>
        <w:jc w:val="center"/>
        <w:outlineLvl w:val="1"/>
        <w:rPr>
          <w:rFonts w:ascii="方正仿宋_GB2312" w:hAnsi="方正仿宋_GB2312" w:eastAsia="方正仿宋_GB2312" w:cs="方正仿宋_GB2312"/>
          <w:bCs/>
          <w:color w:val="333333"/>
          <w:sz w:val="32"/>
          <w:szCs w:val="32"/>
        </w:rPr>
      </w:pPr>
      <w:bookmarkStart w:id="415" w:name="_Toc20290"/>
      <w:r>
        <w:rPr>
          <w:rStyle w:val="18"/>
          <w:rFonts w:hint="eastAsia" w:ascii="黑体" w:hAnsi="黑体" w:eastAsia="黑体" w:cs="黑体"/>
          <w:b w:val="0"/>
          <w:bCs/>
          <w:color w:val="333333"/>
          <w:sz w:val="32"/>
          <w:szCs w:val="32"/>
          <w:shd w:val="clear" w:color="auto" w:fill="FFFFFF"/>
        </w:rPr>
        <w:t>第二章 职责任务</w:t>
      </w:r>
      <w:bookmarkEnd w:id="415"/>
    </w:p>
    <w:p w14:paraId="5188C8CD">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 xml:space="preserve">第四条 </w:t>
      </w:r>
      <w:r>
        <w:rPr>
          <w:rFonts w:hint="eastAsia" w:ascii="仿宋_GB2312" w:hAnsi="仿宋_GB2312" w:eastAsia="仿宋_GB2312" w:cs="仿宋_GB2312"/>
          <w:color w:val="333333"/>
          <w:sz w:val="32"/>
          <w:szCs w:val="32"/>
          <w:shd w:val="clear" w:color="auto" w:fill="FFFFFF"/>
        </w:rPr>
        <w:t>农交中心实行交易资金统一进场结算制度，开设独立的结算账户。设出纳和会计两个结算岗位。</w:t>
      </w:r>
    </w:p>
    <w:p w14:paraId="078C410F">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第五条</w:t>
      </w:r>
      <w:r>
        <w:rPr>
          <w:rFonts w:hint="eastAsia" w:ascii="仿宋_GB2312" w:hAnsi="仿宋_GB2312" w:eastAsia="仿宋_GB2312" w:cs="仿宋_GB2312"/>
          <w:color w:val="333333"/>
          <w:sz w:val="32"/>
          <w:szCs w:val="32"/>
          <w:shd w:val="clear" w:color="auto" w:fill="FFFFFF"/>
        </w:rPr>
        <w:t xml:space="preserve"> 出纳岗的职责是组织收、付产权交易资金，并保证结算账户中的交易资金安全，不得挪作他用，付款相关印鉴有三人分别管理，相互制约，相互监督，做到一笔交易款项的收、付要分别经过三个岗位的审核才能完成。</w:t>
      </w:r>
    </w:p>
    <w:p w14:paraId="2AA8951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第六条</w:t>
      </w:r>
      <w:r>
        <w:rPr>
          <w:rFonts w:hint="eastAsia" w:ascii="仿宋_GB2312" w:hAnsi="仿宋_GB2312" w:eastAsia="仿宋_GB2312" w:cs="仿宋_GB2312"/>
          <w:color w:val="333333"/>
          <w:sz w:val="32"/>
          <w:szCs w:val="32"/>
          <w:shd w:val="clear" w:color="auto" w:fill="FFFFFF"/>
        </w:rPr>
        <w:t xml:space="preserve"> 出纳岗必须认真审核项目管理部提供的《保证金划出凭单》以及出让方提交的《关于划转农村产权流转交易价款的函》，确定无误后，方可进行相关款项的结算。</w:t>
      </w:r>
    </w:p>
    <w:p w14:paraId="206C9FD9">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第七条</w:t>
      </w:r>
      <w:r>
        <w:rPr>
          <w:rFonts w:hint="eastAsia" w:ascii="仿宋_GB2312" w:hAnsi="仿宋_GB2312" w:eastAsia="仿宋_GB2312" w:cs="仿宋_GB2312"/>
          <w:color w:val="333333"/>
          <w:sz w:val="32"/>
          <w:szCs w:val="32"/>
          <w:shd w:val="clear" w:color="auto" w:fill="FFFFFF"/>
        </w:rPr>
        <w:t xml:space="preserve"> 对于出让方为自然人或申请退款（保证金）为自然人的，出纳岗要审查其提供的个人相关身份证明、退款账户信息。</w:t>
      </w:r>
    </w:p>
    <w:p w14:paraId="023D116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第八条</w:t>
      </w:r>
      <w:r>
        <w:rPr>
          <w:rFonts w:hint="eastAsia" w:ascii="仿宋_GB2312" w:hAnsi="仿宋_GB2312" w:eastAsia="仿宋_GB2312" w:cs="仿宋_GB2312"/>
          <w:color w:val="333333"/>
          <w:sz w:val="32"/>
          <w:szCs w:val="32"/>
          <w:shd w:val="clear" w:color="auto" w:fill="FFFFFF"/>
        </w:rPr>
        <w:t xml:space="preserve"> 出纳岗必须严格按照由</w:t>
      </w:r>
      <w:r>
        <w:rPr>
          <w:rFonts w:hint="eastAsia" w:ascii="仿宋_GB2312" w:hAnsi="仿宋_GB2312" w:eastAsia="仿宋_GB2312" w:cs="仿宋_GB2312"/>
          <w:color w:val="333333"/>
          <w:sz w:val="32"/>
          <w:szCs w:val="32"/>
          <w:shd w:val="clear" w:color="auto" w:fill="FFFFFF"/>
          <w:lang w:eastAsia="zh-CN"/>
        </w:rPr>
        <w:t>县</w:t>
      </w:r>
      <w:r>
        <w:rPr>
          <w:rFonts w:hint="eastAsia" w:ascii="仿宋_GB2312" w:hAnsi="仿宋_GB2312" w:eastAsia="仿宋_GB2312" w:cs="仿宋_GB2312"/>
          <w:color w:val="333333"/>
          <w:sz w:val="32"/>
          <w:szCs w:val="32"/>
          <w:shd w:val="clear" w:color="auto" w:fill="FFFFFF"/>
        </w:rPr>
        <w:t>场部提交的《项目报名名单》开具收据。每月底必须与结算银行核对清楚所有收付往来款项。对企业或个人擅自将资金打入结算账户的，应冻结该笔资金，并向部门责任人报告，查明原因，按相关规定处理。</w:t>
      </w:r>
    </w:p>
    <w:p w14:paraId="7BD1D137">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第九条</w:t>
      </w:r>
      <w:r>
        <w:rPr>
          <w:rFonts w:hint="eastAsia" w:ascii="仿宋_GB2312" w:hAnsi="仿宋_GB2312" w:eastAsia="仿宋_GB2312" w:cs="仿宋_GB2312"/>
          <w:color w:val="333333"/>
          <w:sz w:val="32"/>
          <w:szCs w:val="32"/>
          <w:shd w:val="clear" w:color="auto" w:fill="FFFFFF"/>
        </w:rPr>
        <w:t xml:space="preserve"> 出纳岗须认真审核产权交易价款划转条件，对于符合条件的，应当在出让方要求办理交易价款划转手续次日起10日内，完成交易价款划转。</w:t>
      </w:r>
    </w:p>
    <w:p w14:paraId="3B5436A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第十条</w:t>
      </w:r>
      <w:r>
        <w:rPr>
          <w:rStyle w:val="18"/>
          <w:rFonts w:hint="eastAsia" w:ascii="仿宋_GB2312" w:hAnsi="仿宋_GB2312" w:eastAsia="仿宋_GB2312" w:cs="仿宋_GB2312"/>
          <w:color w:val="333333"/>
          <w:sz w:val="32"/>
          <w:szCs w:val="32"/>
          <w:shd w:val="clear" w:color="auto" w:fill="FFFFFF"/>
          <w:lang w:val="en-US" w:eastAsia="zh-CN"/>
        </w:rPr>
        <w:t xml:space="preserve">  </w:t>
      </w:r>
      <w:r>
        <w:rPr>
          <w:rFonts w:hint="eastAsia" w:ascii="仿宋_GB2312" w:hAnsi="仿宋_GB2312" w:eastAsia="仿宋_GB2312" w:cs="仿宋_GB2312"/>
          <w:color w:val="333333"/>
          <w:sz w:val="32"/>
          <w:szCs w:val="32"/>
          <w:shd w:val="clear" w:color="auto" w:fill="FFFFFF"/>
        </w:rPr>
        <w:t xml:space="preserve"> 交易资金一律以人民币进行结算。</w:t>
      </w:r>
    </w:p>
    <w:p w14:paraId="28C15F0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第十一条</w:t>
      </w:r>
      <w:r>
        <w:rPr>
          <w:rFonts w:hint="eastAsia" w:ascii="仿宋_GB2312" w:hAnsi="仿宋_GB2312" w:eastAsia="仿宋_GB2312" w:cs="仿宋_GB2312"/>
          <w:color w:val="333333"/>
          <w:sz w:val="32"/>
          <w:szCs w:val="32"/>
          <w:shd w:val="clear" w:color="auto" w:fill="FFFFFF"/>
        </w:rPr>
        <w:t xml:space="preserve"> 会计岗位对出纳岗提供的银行对账单及收付款手续的凭据进行审核，主要包括企业（或自然人）名称、收、付金额及相关领导的审批签字等，然后进行会计分类及总账登记，并按月装订成册存档。</w:t>
      </w:r>
    </w:p>
    <w:p w14:paraId="1D67C938">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第十二条</w:t>
      </w:r>
      <w:r>
        <w:rPr>
          <w:rFonts w:hint="eastAsia" w:ascii="仿宋_GB2312" w:hAnsi="仿宋_GB2312" w:eastAsia="仿宋_GB2312" w:cs="仿宋_GB2312"/>
          <w:color w:val="333333"/>
          <w:sz w:val="32"/>
          <w:szCs w:val="32"/>
          <w:shd w:val="clear" w:color="auto" w:fill="FFFFFF"/>
        </w:rPr>
        <w:t xml:space="preserve"> 对于需要对外借阅的凭证，必须有主管领导批准方能出示，未经领导批准，不得擅自对外提供财务内部档案、泄露财务机密。</w:t>
      </w:r>
    </w:p>
    <w:p w14:paraId="319F20DE">
      <w:pPr>
        <w:pStyle w:val="13"/>
        <w:shd w:val="clear" w:color="auto" w:fill="FFFFFF"/>
        <w:spacing w:beforeAutospacing="0" w:afterAutospacing="0" w:line="560" w:lineRule="exact"/>
        <w:jc w:val="center"/>
        <w:outlineLvl w:val="1"/>
        <w:rPr>
          <w:rFonts w:ascii="黑体" w:hAnsi="黑体" w:eastAsia="黑体" w:cs="黑体"/>
          <w:bCs/>
          <w:color w:val="333333"/>
          <w:sz w:val="32"/>
          <w:szCs w:val="32"/>
        </w:rPr>
      </w:pPr>
      <w:bookmarkStart w:id="416" w:name="_Toc1991"/>
      <w:r>
        <w:rPr>
          <w:rStyle w:val="18"/>
          <w:rFonts w:hint="eastAsia" w:ascii="黑体" w:hAnsi="黑体" w:eastAsia="黑体" w:cs="黑体"/>
          <w:b w:val="0"/>
          <w:bCs/>
          <w:color w:val="333333"/>
          <w:sz w:val="32"/>
          <w:szCs w:val="32"/>
          <w:shd w:val="clear" w:color="auto" w:fill="FFFFFF"/>
        </w:rPr>
        <w:t>第三章 自律要求</w:t>
      </w:r>
      <w:bookmarkEnd w:id="416"/>
    </w:p>
    <w:p w14:paraId="40BCAEFA">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第十三条</w:t>
      </w:r>
      <w:r>
        <w:rPr>
          <w:rFonts w:hint="eastAsia" w:ascii="仿宋_GB2312" w:hAnsi="仿宋_GB2312" w:eastAsia="仿宋_GB2312" w:cs="仿宋_GB2312"/>
          <w:color w:val="333333"/>
          <w:sz w:val="32"/>
          <w:szCs w:val="32"/>
          <w:shd w:val="clear" w:color="auto" w:fill="FFFFFF"/>
        </w:rPr>
        <w:t xml:space="preserve"> 各个岗位工作人员必须在授权范围内履行职责，未经许可不得越权、越岗处理结算资金的收付款项。</w:t>
      </w:r>
    </w:p>
    <w:p w14:paraId="21918DDB">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第十四条</w:t>
      </w:r>
      <w:r>
        <w:rPr>
          <w:rFonts w:hint="eastAsia" w:ascii="仿宋_GB2312" w:hAnsi="仿宋_GB2312" w:eastAsia="仿宋_GB2312" w:cs="仿宋_GB2312"/>
          <w:color w:val="333333"/>
          <w:sz w:val="32"/>
          <w:szCs w:val="32"/>
          <w:shd w:val="clear" w:color="auto" w:fill="FFFFFF"/>
        </w:rPr>
        <w:t xml:space="preserve"> 负责从事项目资金结算人员，在受理业务中要依法依规，尽职尽责，遇有重大问题须及时向上级领导报告。</w:t>
      </w:r>
    </w:p>
    <w:p w14:paraId="67FBC6A6">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仿宋_GB2312" w:hAnsi="仿宋_GB2312" w:eastAsia="仿宋_GB2312" w:cs="仿宋_GB2312"/>
          <w:color w:val="333333"/>
          <w:sz w:val="32"/>
          <w:szCs w:val="32"/>
          <w:shd w:val="clear" w:color="auto" w:fill="FFFFFF"/>
        </w:rPr>
        <w:t xml:space="preserve">    第十五条 </w:t>
      </w:r>
      <w:r>
        <w:rPr>
          <w:rFonts w:hint="eastAsia" w:ascii="仿宋_GB2312" w:hAnsi="仿宋_GB2312" w:eastAsia="仿宋_GB2312" w:cs="仿宋_GB2312"/>
          <w:color w:val="333333"/>
          <w:sz w:val="32"/>
          <w:szCs w:val="32"/>
          <w:shd w:val="clear" w:color="auto" w:fill="FFFFFF"/>
        </w:rPr>
        <w:t>因工作失职或违反本制度的，要追究相关人员责任，根据情节轻重，按照有关规定给予相应处置。</w:t>
      </w:r>
    </w:p>
    <w:p w14:paraId="4100C212">
      <w:pPr>
        <w:pStyle w:val="13"/>
        <w:shd w:val="clear" w:color="auto" w:fill="FFFFFF"/>
        <w:spacing w:beforeAutospacing="0" w:afterAutospacing="0" w:line="560" w:lineRule="exact"/>
        <w:jc w:val="center"/>
        <w:outlineLvl w:val="1"/>
        <w:rPr>
          <w:rFonts w:ascii="微软雅黑" w:hAnsi="微软雅黑" w:eastAsia="微软雅黑" w:cs="微软雅黑"/>
          <w:bCs/>
          <w:color w:val="333333"/>
          <w:sz w:val="32"/>
          <w:szCs w:val="32"/>
        </w:rPr>
      </w:pPr>
      <w:r>
        <w:rPr>
          <w:rStyle w:val="18"/>
          <w:rFonts w:hint="eastAsia" w:ascii="微软雅黑" w:hAnsi="微软雅黑" w:eastAsia="微软雅黑" w:cs="微软雅黑"/>
          <w:b w:val="0"/>
          <w:bCs/>
          <w:color w:val="333333"/>
          <w:sz w:val="32"/>
          <w:szCs w:val="32"/>
          <w:shd w:val="clear" w:color="auto" w:fill="FFFFFF"/>
        </w:rPr>
        <w:t xml:space="preserve"> </w:t>
      </w:r>
      <w:bookmarkStart w:id="417" w:name="_Toc14174"/>
      <w:r>
        <w:rPr>
          <w:rStyle w:val="18"/>
          <w:rFonts w:hint="eastAsia" w:ascii="黑体" w:hAnsi="黑体" w:eastAsia="黑体" w:cs="黑体"/>
          <w:b w:val="0"/>
          <w:bCs/>
          <w:color w:val="333333"/>
          <w:sz w:val="32"/>
          <w:szCs w:val="32"/>
          <w:shd w:val="clear" w:color="auto" w:fill="FFFFFF"/>
        </w:rPr>
        <w:t>第四章  附  则</w:t>
      </w:r>
      <w:bookmarkEnd w:id="417"/>
    </w:p>
    <w:p w14:paraId="5521F85E">
      <w:pPr>
        <w:pStyle w:val="13"/>
        <w:shd w:val="clear" w:color="auto" w:fill="FFFFFF"/>
        <w:spacing w:beforeAutospacing="0" w:afterAutospacing="0" w:line="560" w:lineRule="exact"/>
        <w:rPr>
          <w:rFonts w:ascii="仿宋_GB2312" w:hAnsi="仿宋_GB2312" w:eastAsia="仿宋_GB2312" w:cs="仿宋_GB2312"/>
          <w:color w:val="333333"/>
          <w:sz w:val="32"/>
          <w:szCs w:val="32"/>
        </w:rPr>
      </w:pPr>
      <w:r>
        <w:rPr>
          <w:rStyle w:val="18"/>
          <w:rFonts w:hint="eastAsia" w:ascii="方正仿宋_GB2312" w:hAnsi="方正仿宋_GB2312" w:eastAsia="方正仿宋_GB2312" w:cs="方正仿宋_GB2312"/>
          <w:color w:val="333333"/>
          <w:sz w:val="32"/>
          <w:szCs w:val="32"/>
          <w:shd w:val="clear" w:color="auto" w:fill="FFFFFF"/>
        </w:rPr>
        <w:t xml:space="preserve">    </w:t>
      </w:r>
      <w:r>
        <w:rPr>
          <w:rStyle w:val="18"/>
          <w:rFonts w:hint="eastAsia" w:ascii="仿宋_GB2312" w:hAnsi="仿宋_GB2312" w:eastAsia="仿宋_GB2312" w:cs="仿宋_GB2312"/>
          <w:color w:val="333333"/>
          <w:sz w:val="32"/>
          <w:szCs w:val="32"/>
          <w:shd w:val="clear" w:color="auto" w:fill="FFFFFF"/>
        </w:rPr>
        <w:t>第十六条</w:t>
      </w:r>
      <w:r>
        <w:rPr>
          <w:rFonts w:hint="eastAsia" w:ascii="仿宋_GB2312" w:hAnsi="仿宋_GB2312" w:eastAsia="仿宋_GB2312" w:cs="仿宋_GB2312"/>
          <w:color w:val="333333"/>
          <w:sz w:val="32"/>
          <w:szCs w:val="32"/>
          <w:shd w:val="clear" w:color="auto" w:fill="FFFFFF"/>
        </w:rPr>
        <w:t xml:space="preserve"> 本制度的解释权属于</w:t>
      </w:r>
      <w:r>
        <w:rPr>
          <w:rFonts w:hint="eastAsia" w:ascii="___WRD_EMBED_SUB_45" w:hAnsi="___WRD_EMBED_SUB_45" w:eastAsia="___WRD_EMBED_SUB_45" w:cs="___WRD_EMBED_SUB_45"/>
          <w:color w:val="333333"/>
          <w:sz w:val="32"/>
          <w:szCs w:val="32"/>
          <w:shd w:val="clear" w:color="auto" w:fill="FFFFFF"/>
        </w:rPr>
        <w:t>石门县</w:t>
      </w:r>
      <w:r>
        <w:rPr>
          <w:rFonts w:hint="eastAsia" w:ascii="仿宋_GB2312" w:hAnsi="仿宋_GB2312" w:eastAsia="仿宋_GB2312" w:cs="仿宋_GB2312"/>
          <w:color w:val="333333"/>
          <w:sz w:val="32"/>
          <w:szCs w:val="32"/>
          <w:shd w:val="clear" w:color="auto" w:fill="FFFFFF"/>
        </w:rPr>
        <w:t>农村产权交易中心。</w:t>
      </w:r>
    </w:p>
    <w:p w14:paraId="13420119">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Style w:val="18"/>
          <w:rFonts w:hint="eastAsia" w:ascii="仿宋_GB2312" w:hAnsi="仿宋_GB2312" w:eastAsia="仿宋_GB2312" w:cs="仿宋_GB2312"/>
          <w:color w:val="333333"/>
          <w:sz w:val="32"/>
          <w:szCs w:val="32"/>
          <w:shd w:val="clear" w:color="auto" w:fill="FFFFFF"/>
        </w:rPr>
        <w:t xml:space="preserve">    第十七条 </w:t>
      </w:r>
      <w:r>
        <w:rPr>
          <w:rFonts w:hint="eastAsia" w:ascii="仿宋_GB2312" w:hAnsi="仿宋_GB2312" w:eastAsia="仿宋_GB2312" w:cs="仿宋_GB2312"/>
          <w:color w:val="333333"/>
          <w:sz w:val="32"/>
          <w:szCs w:val="32"/>
          <w:shd w:val="clear" w:color="auto" w:fill="FFFFFF"/>
        </w:rPr>
        <w:t>本制度自印发之日起执行。</w:t>
      </w:r>
    </w:p>
    <w:p w14:paraId="6630D27A">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p>
    <w:p w14:paraId="7A078D93">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p>
    <w:p w14:paraId="0ECF38E4">
      <w:pPr>
        <w:shd w:val="clear" w:color="auto" w:fill="FFFFFF"/>
        <w:spacing w:line="560" w:lineRule="exact"/>
        <w:jc w:val="center"/>
      </w:pPr>
      <w:bookmarkStart w:id="418" w:name="_Toc1559"/>
      <w:bookmarkStart w:id="419" w:name="_Toc26032"/>
      <w:bookmarkStart w:id="420" w:name="_Toc29573"/>
      <w:bookmarkStart w:id="421" w:name="_Toc27223"/>
      <w:bookmarkStart w:id="422" w:name="_Toc8118"/>
      <w:bookmarkStart w:id="423" w:name="_Toc6409"/>
      <w:bookmarkStart w:id="424" w:name="_Toc13955"/>
      <w:bookmarkStart w:id="425" w:name="_Toc14891"/>
      <w:bookmarkStart w:id="426" w:name="_Toc32381"/>
      <w:bookmarkStart w:id="427" w:name="_Toc5580"/>
      <w:bookmarkStart w:id="428" w:name="_Toc1601"/>
      <w:bookmarkStart w:id="429" w:name="_Toc13426"/>
      <w:bookmarkStart w:id="430" w:name="_Toc19907"/>
      <w:bookmarkStart w:id="431" w:name="_Toc24641"/>
      <w:bookmarkStart w:id="432" w:name="_Toc10310"/>
      <w:r>
        <w:rPr>
          <w:rFonts w:hint="eastAsia"/>
        </w:rPr>
        <w:br w:type="page"/>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14:paraId="3ABF51BE">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bookmarkStart w:id="433" w:name="_Toc30667"/>
      <w:bookmarkStart w:id="434" w:name="_Toc22992"/>
      <w:bookmarkStart w:id="435" w:name="_Toc28390"/>
      <w:r>
        <w:rPr>
          <w:rStyle w:val="18"/>
          <w:rFonts w:hint="eastAsia" w:ascii="方正小标宋简体" w:hAnsi="方正小标宋简体" w:eastAsia="方正小标宋简体" w:cs="方正小标宋简体"/>
          <w:b w:val="0"/>
          <w:bCs/>
          <w:color w:val="333333"/>
          <w:sz w:val="44"/>
          <w:szCs w:val="44"/>
          <w:shd w:val="clear" w:color="auto" w:fill="FFFFFF"/>
        </w:rPr>
        <w:t>石门县农村产权交易中心</w:t>
      </w:r>
    </w:p>
    <w:p w14:paraId="58AFC33C">
      <w:pPr>
        <w:pStyle w:val="13"/>
        <w:shd w:val="clear" w:color="auto" w:fill="FFFFFF"/>
        <w:spacing w:beforeAutospacing="0" w:afterAutospacing="0" w:line="560" w:lineRule="exact"/>
        <w:jc w:val="center"/>
        <w:outlineLvl w:val="0"/>
        <w:rPr>
          <w:rStyle w:val="18"/>
          <w:rFonts w:ascii="方正小标宋简体" w:hAnsi="方正小标宋简体" w:eastAsia="方正小标宋简体" w:cs="方正小标宋简体"/>
          <w:b w:val="0"/>
          <w:bCs/>
          <w:color w:val="333333"/>
          <w:sz w:val="44"/>
          <w:szCs w:val="44"/>
          <w:shd w:val="clear" w:color="auto" w:fill="FFFFFF"/>
        </w:rPr>
      </w:pPr>
      <w:r>
        <w:rPr>
          <w:rStyle w:val="18"/>
          <w:rFonts w:hint="eastAsia" w:ascii="方正小标宋简体" w:hAnsi="方正小标宋简体" w:eastAsia="方正小标宋简体" w:cs="方正小标宋简体"/>
          <w:b w:val="0"/>
          <w:bCs/>
          <w:color w:val="333333"/>
          <w:sz w:val="44"/>
          <w:szCs w:val="44"/>
          <w:shd w:val="clear" w:color="auto" w:fill="FFFFFF"/>
        </w:rPr>
        <w:t>业务档案管理办法（试行）</w:t>
      </w:r>
      <w:bookmarkEnd w:id="433"/>
      <w:bookmarkEnd w:id="434"/>
    </w:p>
    <w:p w14:paraId="69E1AD23">
      <w:pPr>
        <w:pStyle w:val="13"/>
        <w:shd w:val="clear" w:color="auto" w:fill="FFFFFF"/>
        <w:spacing w:before="156" w:beforeLines="50" w:beforeAutospacing="0" w:after="156" w:afterLines="50" w:afterAutospacing="0" w:line="560" w:lineRule="exact"/>
        <w:ind w:firstLine="3534" w:firstLineChars="1100"/>
        <w:outlineLvl w:val="1"/>
        <w:rPr>
          <w:rFonts w:ascii="仿宋_GB2312" w:hAnsi="仿宋_GB2312" w:eastAsia="仿宋_GB2312" w:cs="仿宋_GB2312"/>
          <w:b/>
          <w:bCs/>
          <w:color w:val="333333"/>
          <w:sz w:val="32"/>
          <w:szCs w:val="32"/>
          <w:shd w:val="clear" w:color="auto" w:fill="FFFFFF"/>
        </w:rPr>
      </w:pPr>
      <w:bookmarkStart w:id="436" w:name="_Toc28521"/>
      <w:r>
        <w:rPr>
          <w:rFonts w:hint="eastAsia" w:ascii="仿宋_GB2312" w:hAnsi="仿宋_GB2312" w:eastAsia="仿宋_GB2312" w:cs="仿宋_GB2312"/>
          <w:b/>
          <w:bCs/>
          <w:color w:val="333333"/>
          <w:sz w:val="32"/>
          <w:szCs w:val="32"/>
          <w:shd w:val="clear" w:color="auto" w:fill="FFFFFF"/>
        </w:rPr>
        <w:t>第一章 总 则</w:t>
      </w:r>
      <w:bookmarkEnd w:id="435"/>
      <w:bookmarkEnd w:id="436"/>
    </w:p>
    <w:p w14:paraId="11BBF77A">
      <w:pPr>
        <w:pStyle w:val="13"/>
        <w:shd w:val="clear" w:color="auto" w:fill="FFFFFF"/>
        <w:spacing w:before="156" w:beforeLines="50" w:beforeAutospacing="0" w:after="156" w:afterLines="5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业务项目档案是</w:t>
      </w:r>
      <w:r>
        <w:rPr>
          <w:rFonts w:hint="eastAsia" w:ascii="___WRD_EMBED_SUB_45" w:hAnsi="___WRD_EMBED_SUB_45" w:eastAsia="___WRD_EMBED_SUB_45" w:cs="___WRD_EMBED_SUB_45"/>
          <w:color w:val="333333"/>
          <w:sz w:val="32"/>
          <w:szCs w:val="32"/>
          <w:shd w:val="clear" w:color="auto" w:fill="FFFFFF"/>
        </w:rPr>
        <w:t>石门县</w:t>
      </w:r>
      <w:r>
        <w:rPr>
          <w:rFonts w:hint="eastAsia" w:ascii="仿宋_GB2312" w:hAnsi="仿宋_GB2312" w:eastAsia="仿宋_GB2312" w:cs="仿宋_GB2312"/>
          <w:color w:val="333333"/>
          <w:sz w:val="32"/>
          <w:szCs w:val="32"/>
          <w:shd w:val="clear" w:color="auto" w:fill="FFFFFF"/>
        </w:rPr>
        <w:t>农村产权交易中心（以下简称“农交中心”）从事交易鉴证工作的真实记录，是重要的专业档案，对农交中心的业务工作具有重要的参考利用价值，保管和整理鉴证档案是农交中心的一项重要任务。为了加强档案的科学管理，特制定本办法：</w:t>
      </w:r>
      <w:bookmarkStart w:id="437" w:name="_Toc24389"/>
    </w:p>
    <w:p w14:paraId="7311BC0A">
      <w:pPr>
        <w:pStyle w:val="13"/>
        <w:shd w:val="clear" w:color="auto" w:fill="FFFFFF"/>
        <w:spacing w:before="156" w:beforeLines="50" w:beforeAutospacing="0" w:after="156" w:afterLines="50" w:afterAutospacing="0" w:line="560" w:lineRule="exact"/>
        <w:jc w:val="center"/>
        <w:outlineLvl w:val="1"/>
        <w:rPr>
          <w:rFonts w:ascii="仿宋_GB2312" w:hAnsi="仿宋_GB2312" w:eastAsia="仿宋_GB2312" w:cs="仿宋_GB2312"/>
          <w:b/>
          <w:bCs/>
          <w:color w:val="333333"/>
          <w:sz w:val="32"/>
          <w:szCs w:val="32"/>
          <w:shd w:val="clear" w:color="auto" w:fill="FFFFFF"/>
        </w:rPr>
      </w:pPr>
      <w:bookmarkStart w:id="438" w:name="_Toc9376"/>
      <w:r>
        <w:rPr>
          <w:rFonts w:hint="eastAsia" w:ascii="仿宋_GB2312" w:hAnsi="仿宋_GB2312" w:eastAsia="仿宋_GB2312" w:cs="仿宋_GB2312"/>
          <w:b/>
          <w:bCs/>
          <w:color w:val="333333"/>
          <w:sz w:val="32"/>
          <w:szCs w:val="32"/>
          <w:shd w:val="clear" w:color="auto" w:fill="FFFFFF"/>
        </w:rPr>
        <w:t>第二章 鉴证档案管理业务范围和档案管理人员的职责</w:t>
      </w:r>
      <w:bookmarkEnd w:id="437"/>
      <w:bookmarkEnd w:id="438"/>
    </w:p>
    <w:p w14:paraId="0A67B8BB">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（一）按照《中华人民共和国档案法》及相关法律、法规和规定，按时收集、整理、保管和统计鉴证档案以及有关资料；</w:t>
      </w:r>
    </w:p>
    <w:p w14:paraId="4826A364">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（二）保证鉴证档案完整及不灭失；</w:t>
      </w:r>
    </w:p>
    <w:p w14:paraId="0D571BC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（三）随时接受上级领导的检查，并定期汇报档案管理工作的情况；</w:t>
      </w:r>
    </w:p>
    <w:p w14:paraId="61D18313">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（四）应熟悉鉴证档案内容和情况。主动了解业务情况及其他农交中心工作人员和上级领导的需要，做好鉴证档案的利用工作；</w:t>
      </w:r>
    </w:p>
    <w:p w14:paraId="3D9E4B51">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（五）严格做好保密工作，不随意向任何人提供鉴证档案内容，不随意扩大利用范围；</w:t>
      </w:r>
    </w:p>
    <w:p w14:paraId="7CBC2CFA">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（六）定期清点、整理。如有损坏、丢失等情况应积极修复、复制及查找；并及时向上级领导汇报；</w:t>
      </w:r>
    </w:p>
    <w:p w14:paraId="5A1668C2">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（七）完成领导交给的有关鉴证档案和其他任务。</w:t>
      </w:r>
    </w:p>
    <w:p w14:paraId="28BDB0B9">
      <w:pPr>
        <w:pStyle w:val="13"/>
        <w:shd w:val="clear" w:color="auto" w:fill="FFFFFF"/>
        <w:spacing w:beforeAutospacing="0" w:afterAutospacing="0" w:line="560" w:lineRule="exact"/>
        <w:jc w:val="center"/>
        <w:outlineLvl w:val="1"/>
        <w:rPr>
          <w:rFonts w:ascii="仿宋_GB2312" w:hAnsi="仿宋_GB2312" w:eastAsia="仿宋_GB2312" w:cs="仿宋_GB2312"/>
          <w:b/>
          <w:bCs/>
          <w:color w:val="333333"/>
          <w:sz w:val="32"/>
          <w:szCs w:val="32"/>
          <w:shd w:val="clear" w:color="auto" w:fill="FFFFFF"/>
        </w:rPr>
      </w:pPr>
      <w:bookmarkStart w:id="439" w:name="_Toc27158"/>
      <w:bookmarkStart w:id="440" w:name="_Toc6400"/>
      <w:r>
        <w:rPr>
          <w:rFonts w:hint="eastAsia" w:ascii="仿宋_GB2312" w:hAnsi="仿宋_GB2312" w:eastAsia="仿宋_GB2312" w:cs="仿宋_GB2312"/>
          <w:b/>
          <w:bCs/>
          <w:color w:val="333333"/>
          <w:sz w:val="32"/>
          <w:szCs w:val="32"/>
          <w:shd w:val="clear" w:color="auto" w:fill="FFFFFF"/>
        </w:rPr>
        <w:t>第三章 档案的整理和保存</w:t>
      </w:r>
      <w:bookmarkEnd w:id="439"/>
      <w:bookmarkEnd w:id="440"/>
    </w:p>
    <w:p w14:paraId="10315F4F">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（一）接到档案时应首先整理出文书材料的目录；确定不宜保存时应及时处理；</w:t>
      </w:r>
    </w:p>
    <w:p w14:paraId="512212B8">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（二）已接受的文书材料应按年度顺序、类型、内容进行分类整理；编制卷内目录存放档案夹内，并按鉴证顺序编号；</w:t>
      </w:r>
    </w:p>
    <w:p w14:paraId="2334FF74">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（三）对同一文书材料由于某种原因形成多个编号的，应按文书材料内容及形式合并或分别保管；或按时间顺序，后卷顺前卷保管；</w:t>
      </w:r>
    </w:p>
    <w:p w14:paraId="4338BA1D">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（四）编制鉴证《档案目录》以便查询；</w:t>
      </w:r>
    </w:p>
    <w:p w14:paraId="7248D47B">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（五）制定鉴证档案保管期限；</w:t>
      </w:r>
    </w:p>
    <w:p w14:paraId="6F0C6CBD">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（六）存放鉴证档案的场所和保管柜应坚固、防火、防潮、防虫、防盗以保证档案安全；</w:t>
      </w:r>
    </w:p>
    <w:p w14:paraId="4AB48AD1">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（七）档案柜应指定专用；</w:t>
      </w:r>
    </w:p>
    <w:p w14:paraId="0B3E4D05">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（八）调换管理人员时，应全面办理移交鉴证档案手续。</w:t>
      </w:r>
    </w:p>
    <w:p w14:paraId="701D6B2A">
      <w:pPr>
        <w:pStyle w:val="13"/>
        <w:shd w:val="clear" w:color="auto" w:fill="FFFFFF"/>
        <w:spacing w:beforeAutospacing="0" w:afterAutospacing="0" w:line="560" w:lineRule="exact"/>
        <w:jc w:val="center"/>
        <w:outlineLvl w:val="1"/>
        <w:rPr>
          <w:rFonts w:ascii="仿宋_GB2312" w:hAnsi="仿宋_GB2312" w:eastAsia="仿宋_GB2312" w:cs="仿宋_GB2312"/>
          <w:b/>
          <w:bCs/>
          <w:color w:val="333333"/>
          <w:sz w:val="32"/>
          <w:szCs w:val="32"/>
          <w:shd w:val="clear" w:color="auto" w:fill="FFFFFF"/>
        </w:rPr>
      </w:pPr>
      <w:bookmarkStart w:id="441" w:name="_Toc3730"/>
      <w:bookmarkStart w:id="442" w:name="_Toc1720"/>
      <w:r>
        <w:rPr>
          <w:rFonts w:hint="eastAsia" w:ascii="仿宋_GB2312" w:hAnsi="仿宋_GB2312" w:eastAsia="仿宋_GB2312" w:cs="仿宋_GB2312"/>
          <w:b/>
          <w:bCs/>
          <w:color w:val="333333"/>
          <w:sz w:val="32"/>
          <w:szCs w:val="32"/>
          <w:shd w:val="clear" w:color="auto" w:fill="FFFFFF"/>
        </w:rPr>
        <w:t>第四章 鉴证档案借用管理办法</w:t>
      </w:r>
      <w:bookmarkEnd w:id="441"/>
      <w:bookmarkEnd w:id="442"/>
    </w:p>
    <w:p w14:paraId="33A52CDC">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（一）交易鉴证档案由农交中心审核部派专人负责管理。要负责档案的借用、调阅和收回。对借阅档案的日期，档案的卷名、用途及归还日期进行详细登记。</w:t>
      </w:r>
    </w:p>
    <w:p w14:paraId="62B6BE79">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（二）借阅档案的手续：</w:t>
      </w:r>
    </w:p>
    <w:p w14:paraId="17B61DE6">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1、凡是本部门所做的业务案卷，在借阅档案前，须详细填写借阅原因及借阅用途。并经借阅人填写借阅单，由该部门主管签字后方可办理借阅手续。</w:t>
      </w:r>
    </w:p>
    <w:p w14:paraId="40A5B049">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2、凡因农交中心业务需要，农交中心各部门横向调阅其他部门案卷的，在借阅前须详细填写借阅原因及借阅用途，经本部门主管签字后报农交中心副总经理签字批准后方可办理借阅手续。</w:t>
      </w:r>
    </w:p>
    <w:p w14:paraId="2F68AF0C">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3、凡外单位借阅档案的，原则上不予借阅，特殊需要的由审核部报农交中心总经理批准同意后方可办理借阅手续。</w:t>
      </w:r>
    </w:p>
    <w:p w14:paraId="5E10209F">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（三）各部门借阅档案，要保证档案清洁、完整，任何人不得修改内容，不得任意增添或撤销档案页数，借用后要按原顺序排好再行归还。档案保管人员在收回档案时认真核对，确保档案完好无损。</w:t>
      </w:r>
    </w:p>
    <w:p w14:paraId="2BC0559F">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（四）借阅档案原则上不准复印，确有工作需要的须经本部门领导签字后报总经理批准方可复印，并注意保密。待档案归还时，将复印内容向管理员备案。</w:t>
      </w:r>
    </w:p>
    <w:p w14:paraId="0CA170C8">
      <w:pPr>
        <w:pStyle w:val="13"/>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（五）档案借阅时期不得超出一周，如确有需要，须再次办理借阅手续，以避免影响其他部门使用。</w:t>
      </w:r>
    </w:p>
    <w:p w14:paraId="28706F17">
      <w:pPr>
        <w:pStyle w:val="13"/>
        <w:shd w:val="clear" w:color="auto" w:fill="FFFFFF"/>
        <w:spacing w:beforeAutospacing="0" w:afterAutospacing="0" w:line="560" w:lineRule="exact"/>
        <w:rPr>
          <w:rFonts w:ascii="仿宋_GB2312" w:hAnsi="仿宋_GB2312" w:eastAsia="仿宋_GB2312" w:cs="仿宋_GB2312"/>
          <w:color w:val="333333"/>
          <w:sz w:val="32"/>
          <w:szCs w:val="32"/>
          <w:shd w:val="clear" w:color="auto" w:fill="FFFFFF"/>
        </w:rPr>
      </w:pPr>
    </w:p>
    <w:sectPr>
      <w:pgSz w:w="11906" w:h="16838"/>
      <w:pgMar w:top="1440" w:right="1800" w:bottom="1440" w:left="1800" w:header="851"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BAF6B6-9E4F-456C-9D1F-6CF23DA63C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2" w:fontKey="{32CF48EE-EBF8-4DA7-9302-1DCC81FF5843}"/>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3" w:fontKey="{70B265FB-4F4A-438A-93C2-AACDC09D6611}"/>
  </w:font>
  <w:font w:name="仿宋">
    <w:panose1 w:val="02010609060101010101"/>
    <w:charset w:val="86"/>
    <w:family w:val="modern"/>
    <w:pitch w:val="default"/>
    <w:sig w:usb0="800002BF" w:usb1="38CF7CFA" w:usb2="00000016" w:usb3="00000000" w:csb0="00040001" w:csb1="00000000"/>
    <w:embedRegular r:id="rId4" w:fontKey="{A46ECBDF-F36F-4255-BE70-0B44CF24C291}"/>
  </w:font>
  <w:font w:name="方正小标宋简体">
    <w:altName w:val="微软雅黑"/>
    <w:panose1 w:val="00000000000000000000"/>
    <w:charset w:val="86"/>
    <w:family w:val="auto"/>
    <w:pitch w:val="default"/>
    <w:sig w:usb0="00000000" w:usb1="00000000" w:usb2="00000000" w:usb3="00000000" w:csb0="00040000" w:csb1="00000000"/>
    <w:embedRegular r:id="rId5" w:fontKey="{03780993-3699-4283-A42B-400CA24F4456}"/>
  </w:font>
  <w:font w:name="PingFangSC-Regular">
    <w:altName w:val="Segoe Print"/>
    <w:panose1 w:val="00000000000000000000"/>
    <w:charset w:val="00"/>
    <w:family w:val="auto"/>
    <w:pitch w:val="default"/>
    <w:sig w:usb0="00000000" w:usb1="00000000" w:usb2="00000000" w:usb3="00000000" w:csb0="00000000" w:csb1="00000000"/>
    <w:embedRegular r:id="rId6" w:fontKey="{25D056F7-3172-4B94-84A6-4429B3D288D8}"/>
  </w:font>
  <w:font w:name="Segoe Print">
    <w:panose1 w:val="02000600000000000000"/>
    <w:charset w:val="00"/>
    <w:family w:val="auto"/>
    <w:pitch w:val="default"/>
    <w:sig w:usb0="0000028F" w:usb1="00000000" w:usb2="00000000" w:usb3="00000000" w:csb0="2000009F" w:csb1="47010000"/>
  </w:font>
  <w:font w:name="___WRD_EMBED_SUB_45">
    <w:panose1 w:val="02010609030101010101"/>
    <w:charset w:val="86"/>
    <w:family w:val="modern"/>
    <w:pitch w:val="default"/>
    <w:sig w:usb0="00000001" w:usb1="080E0000" w:usb2="00000000" w:usb3="00000000" w:csb0="00040000" w:csb1="00000000"/>
    <w:embedRegular r:id="rId7" w:fontKey="{69A7991C-F0A1-412D-84A8-4C3DE386D771}"/>
  </w:font>
  <w:font w:name="楷体_GB2312">
    <w:altName w:val="楷体"/>
    <w:panose1 w:val="00000000000000000000"/>
    <w:charset w:val="86"/>
    <w:family w:val="auto"/>
    <w:pitch w:val="default"/>
    <w:sig w:usb0="00000000" w:usb1="00000000" w:usb2="00000000" w:usb3="00000000" w:csb0="00040000" w:csb1="00000000"/>
    <w:embedRegular r:id="rId8" w:fontKey="{94957C11-82AE-4B3E-AE7D-E2B5E4F9EDD4}"/>
  </w:font>
  <w:font w:name="楷体">
    <w:panose1 w:val="02010609060101010101"/>
    <w:charset w:val="86"/>
    <w:family w:val="modern"/>
    <w:pitch w:val="default"/>
    <w:sig w:usb0="800002BF" w:usb1="38CF7CFA" w:usb2="00000016" w:usb3="00000000" w:csb0="00040001" w:csb1="00000000"/>
    <w:embedRegular r:id="rId9" w:fontKey="{812F48B1-DC36-4DF0-AD76-F24B6738292D}"/>
  </w:font>
  <w:font w:name="方正小标宋_GBK">
    <w:altName w:val="微软雅黑"/>
    <w:panose1 w:val="00000000000000000000"/>
    <w:charset w:val="86"/>
    <w:family w:val="auto"/>
    <w:pitch w:val="default"/>
    <w:sig w:usb0="00000000" w:usb1="00000000" w:usb2="00082016" w:usb3="00000000" w:csb0="00040001" w:csb1="00000000"/>
    <w:embedRegular r:id="rId10" w:fontKey="{7441FF91-4AA2-48A8-96EA-BAA322442011}"/>
  </w:font>
  <w:font w:name="方正仿宋_GB2312">
    <w:altName w:val="仿宋"/>
    <w:panose1 w:val="00000000000000000000"/>
    <w:charset w:val="86"/>
    <w:family w:val="auto"/>
    <w:pitch w:val="default"/>
    <w:sig w:usb0="00000000" w:usb1="00000000" w:usb2="00000012" w:usb3="00000000" w:csb0="00040001" w:csb1="00000000"/>
    <w:embedRegular r:id="rId11" w:fontKey="{D9A6BE92-22D0-4D4A-8F40-54423C5D3E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FC7A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581F">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943F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49B95D">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59264;mso-width-relative:page;mso-height-relative:page;" filled="f" stroked="f" coordsize="21600,21600" o:gfxdata="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91up1QAAAAg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0449B95D">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A31F">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-293370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F89CA">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60288;mso-width-relative:page;mso-height-relative:page;" filled="f" stroked="f" coordsize="21600,21600" o:gfxdata="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vdbqdUAAAAIAQAADwAAAAAAAAABACAAAAAiAAAAZHJzL2Rvd25yZXYueG1sUEsBAhQAFAAA&#10;AAgAh07iQAVhjD8rAgAAVQQAAA4AAAAAAAAAAQAgAAAAJAEAAGRycy9lMm9Eb2MueG1sUEsFBgAA&#10;AAAGAAYAWQEAAMEFAAAAAA==&#10;">
              <v:fill on="f" focussize="0,0"/>
              <v:stroke on="f" weight="0.5pt"/>
              <v:imagedata o:title=""/>
              <o:lock v:ext="edit" aspectratio="f"/>
              <v:textbox inset="0mm,0mm,0mm,0mm" style="mso-fit-shape-to-text:t;">
                <w:txbxContent>
                  <w:p w14:paraId="6D5F89CA">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89A1">
    <w:pPr>
      <w:pStyle w:val="10"/>
      <w:ind w:firstLine="2700" w:firstLineChars="150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YzY1NmYwZDQwMTgxNmM0OTU4MzgyYzk5NmNmOWIifQ=="/>
  </w:docVars>
  <w:rsids>
    <w:rsidRoot w:val="0BD958B3"/>
    <w:rsid w:val="00011AAC"/>
    <w:rsid w:val="000E5F53"/>
    <w:rsid w:val="00174E76"/>
    <w:rsid w:val="002B3B37"/>
    <w:rsid w:val="003B29F0"/>
    <w:rsid w:val="003C5C5D"/>
    <w:rsid w:val="004A148D"/>
    <w:rsid w:val="006F28B1"/>
    <w:rsid w:val="00767112"/>
    <w:rsid w:val="00A10993"/>
    <w:rsid w:val="00A74B3C"/>
    <w:rsid w:val="00C17C94"/>
    <w:rsid w:val="00C5583C"/>
    <w:rsid w:val="00DF12C5"/>
    <w:rsid w:val="00F7123D"/>
    <w:rsid w:val="01503E86"/>
    <w:rsid w:val="01AA1D19"/>
    <w:rsid w:val="01D174D9"/>
    <w:rsid w:val="01DF33BE"/>
    <w:rsid w:val="01F93C3C"/>
    <w:rsid w:val="022F2ADB"/>
    <w:rsid w:val="02E334E5"/>
    <w:rsid w:val="02F30A65"/>
    <w:rsid w:val="030F42DA"/>
    <w:rsid w:val="03D35490"/>
    <w:rsid w:val="0487355B"/>
    <w:rsid w:val="051D2E78"/>
    <w:rsid w:val="051E2BDC"/>
    <w:rsid w:val="05FE5235"/>
    <w:rsid w:val="060D043B"/>
    <w:rsid w:val="063A4919"/>
    <w:rsid w:val="0659797F"/>
    <w:rsid w:val="068E3768"/>
    <w:rsid w:val="075F5104"/>
    <w:rsid w:val="08534C69"/>
    <w:rsid w:val="09126CE4"/>
    <w:rsid w:val="0AB87ABF"/>
    <w:rsid w:val="0ACB72DF"/>
    <w:rsid w:val="0AEB7BB7"/>
    <w:rsid w:val="0BD958B3"/>
    <w:rsid w:val="0BF82A20"/>
    <w:rsid w:val="0CDD1C85"/>
    <w:rsid w:val="0D070662"/>
    <w:rsid w:val="0D3A1109"/>
    <w:rsid w:val="0DC239CB"/>
    <w:rsid w:val="0DDF4C04"/>
    <w:rsid w:val="0E2826F4"/>
    <w:rsid w:val="0E7767A2"/>
    <w:rsid w:val="0E7C0D4C"/>
    <w:rsid w:val="0E927B6D"/>
    <w:rsid w:val="0EFD67F5"/>
    <w:rsid w:val="0F7A5ED6"/>
    <w:rsid w:val="0F86029D"/>
    <w:rsid w:val="0F8F0BAE"/>
    <w:rsid w:val="0FCE2ABC"/>
    <w:rsid w:val="108A2802"/>
    <w:rsid w:val="10B26206"/>
    <w:rsid w:val="10CE0F5E"/>
    <w:rsid w:val="111331E7"/>
    <w:rsid w:val="1182211B"/>
    <w:rsid w:val="11BF1909"/>
    <w:rsid w:val="12142F9E"/>
    <w:rsid w:val="12B35076"/>
    <w:rsid w:val="1319260B"/>
    <w:rsid w:val="1331212A"/>
    <w:rsid w:val="13CC4DF1"/>
    <w:rsid w:val="13D306DE"/>
    <w:rsid w:val="13EA42C2"/>
    <w:rsid w:val="13F310AE"/>
    <w:rsid w:val="140212F1"/>
    <w:rsid w:val="141C3C49"/>
    <w:rsid w:val="14927212"/>
    <w:rsid w:val="153853DB"/>
    <w:rsid w:val="162E63BE"/>
    <w:rsid w:val="162F4A9D"/>
    <w:rsid w:val="162F7DA5"/>
    <w:rsid w:val="16A50D85"/>
    <w:rsid w:val="16BA5EB3"/>
    <w:rsid w:val="16BD77F6"/>
    <w:rsid w:val="16CB66C2"/>
    <w:rsid w:val="16DC051F"/>
    <w:rsid w:val="172E6599"/>
    <w:rsid w:val="17521018"/>
    <w:rsid w:val="17AF1790"/>
    <w:rsid w:val="17BE7C25"/>
    <w:rsid w:val="17DC2543"/>
    <w:rsid w:val="17F22928"/>
    <w:rsid w:val="18466408"/>
    <w:rsid w:val="18570229"/>
    <w:rsid w:val="194D7488"/>
    <w:rsid w:val="19DD33D8"/>
    <w:rsid w:val="1A5818FE"/>
    <w:rsid w:val="1AC40CDC"/>
    <w:rsid w:val="1ADD120E"/>
    <w:rsid w:val="1B6607FA"/>
    <w:rsid w:val="1CE04199"/>
    <w:rsid w:val="1D021561"/>
    <w:rsid w:val="1DF47EFC"/>
    <w:rsid w:val="1E161073"/>
    <w:rsid w:val="1EE56529"/>
    <w:rsid w:val="1EF74148"/>
    <w:rsid w:val="1F6E1F30"/>
    <w:rsid w:val="1FAC33EA"/>
    <w:rsid w:val="20083420"/>
    <w:rsid w:val="20C448C0"/>
    <w:rsid w:val="2230462D"/>
    <w:rsid w:val="229B6C8C"/>
    <w:rsid w:val="23A81514"/>
    <w:rsid w:val="248A09B4"/>
    <w:rsid w:val="24927F92"/>
    <w:rsid w:val="24C10021"/>
    <w:rsid w:val="24D855D5"/>
    <w:rsid w:val="252F0BF9"/>
    <w:rsid w:val="261A4BC0"/>
    <w:rsid w:val="2626465E"/>
    <w:rsid w:val="2652435A"/>
    <w:rsid w:val="2665408D"/>
    <w:rsid w:val="26A33816"/>
    <w:rsid w:val="26AE17E0"/>
    <w:rsid w:val="27883E36"/>
    <w:rsid w:val="28485A15"/>
    <w:rsid w:val="28A51D7B"/>
    <w:rsid w:val="29751588"/>
    <w:rsid w:val="2A954815"/>
    <w:rsid w:val="2ACD3919"/>
    <w:rsid w:val="2AD664A5"/>
    <w:rsid w:val="2AFA52D9"/>
    <w:rsid w:val="2B4D499A"/>
    <w:rsid w:val="2BBF5C96"/>
    <w:rsid w:val="2BD1572D"/>
    <w:rsid w:val="2C1B292E"/>
    <w:rsid w:val="2C5028B1"/>
    <w:rsid w:val="2C90798A"/>
    <w:rsid w:val="2D020D13"/>
    <w:rsid w:val="2D7E0A5C"/>
    <w:rsid w:val="2DE2356C"/>
    <w:rsid w:val="2E407F49"/>
    <w:rsid w:val="2FDE2FB7"/>
    <w:rsid w:val="2FDE3400"/>
    <w:rsid w:val="3019022C"/>
    <w:rsid w:val="314626C6"/>
    <w:rsid w:val="315C0774"/>
    <w:rsid w:val="31620771"/>
    <w:rsid w:val="31630793"/>
    <w:rsid w:val="32487B18"/>
    <w:rsid w:val="3251196A"/>
    <w:rsid w:val="3270063B"/>
    <w:rsid w:val="327057C4"/>
    <w:rsid w:val="330668C7"/>
    <w:rsid w:val="34164ACB"/>
    <w:rsid w:val="34277B44"/>
    <w:rsid w:val="346C7C15"/>
    <w:rsid w:val="35F9034E"/>
    <w:rsid w:val="36A24542"/>
    <w:rsid w:val="36B81FB7"/>
    <w:rsid w:val="37E56149"/>
    <w:rsid w:val="38246BA9"/>
    <w:rsid w:val="3903348C"/>
    <w:rsid w:val="39B11601"/>
    <w:rsid w:val="39F11A3F"/>
    <w:rsid w:val="3A724EF3"/>
    <w:rsid w:val="3AC76C6D"/>
    <w:rsid w:val="3B1B2B15"/>
    <w:rsid w:val="3BD93255"/>
    <w:rsid w:val="3C0D427B"/>
    <w:rsid w:val="3C220575"/>
    <w:rsid w:val="3C8F0749"/>
    <w:rsid w:val="3D292DF6"/>
    <w:rsid w:val="3DB83632"/>
    <w:rsid w:val="3DBA7A00"/>
    <w:rsid w:val="3DBF59D9"/>
    <w:rsid w:val="3E902962"/>
    <w:rsid w:val="3EC57DCF"/>
    <w:rsid w:val="402F2764"/>
    <w:rsid w:val="40580367"/>
    <w:rsid w:val="40A34B6C"/>
    <w:rsid w:val="40A92971"/>
    <w:rsid w:val="41E80C60"/>
    <w:rsid w:val="428F2687"/>
    <w:rsid w:val="42927B60"/>
    <w:rsid w:val="42AC1E04"/>
    <w:rsid w:val="42B4310E"/>
    <w:rsid w:val="42BD6DB0"/>
    <w:rsid w:val="44983B78"/>
    <w:rsid w:val="44C164DB"/>
    <w:rsid w:val="47B24BA1"/>
    <w:rsid w:val="48376AB4"/>
    <w:rsid w:val="483E6094"/>
    <w:rsid w:val="485633DE"/>
    <w:rsid w:val="488F069E"/>
    <w:rsid w:val="489228E6"/>
    <w:rsid w:val="48DC5C2F"/>
    <w:rsid w:val="48F215B5"/>
    <w:rsid w:val="49190F7D"/>
    <w:rsid w:val="49824C8D"/>
    <w:rsid w:val="49E97107"/>
    <w:rsid w:val="49EB1754"/>
    <w:rsid w:val="4A4554B8"/>
    <w:rsid w:val="4A505E5B"/>
    <w:rsid w:val="4B097486"/>
    <w:rsid w:val="4B101F6A"/>
    <w:rsid w:val="4B1732F9"/>
    <w:rsid w:val="4B78366B"/>
    <w:rsid w:val="4C275044"/>
    <w:rsid w:val="4C8C2F0D"/>
    <w:rsid w:val="4CF17B79"/>
    <w:rsid w:val="4D625E3B"/>
    <w:rsid w:val="4D911437"/>
    <w:rsid w:val="4DAE7818"/>
    <w:rsid w:val="4DCB2178"/>
    <w:rsid w:val="4DF7294E"/>
    <w:rsid w:val="4E3E5274"/>
    <w:rsid w:val="4E746A3E"/>
    <w:rsid w:val="4E782FE8"/>
    <w:rsid w:val="4EE3752D"/>
    <w:rsid w:val="4F8823B3"/>
    <w:rsid w:val="4FD25955"/>
    <w:rsid w:val="4FDA48F5"/>
    <w:rsid w:val="507632DA"/>
    <w:rsid w:val="50A12A22"/>
    <w:rsid w:val="50FE50D0"/>
    <w:rsid w:val="510E5A5B"/>
    <w:rsid w:val="51366F18"/>
    <w:rsid w:val="51571BE7"/>
    <w:rsid w:val="51A26F77"/>
    <w:rsid w:val="51C15E6E"/>
    <w:rsid w:val="51D75E36"/>
    <w:rsid w:val="52001694"/>
    <w:rsid w:val="529B69E7"/>
    <w:rsid w:val="52A8206B"/>
    <w:rsid w:val="52E650D7"/>
    <w:rsid w:val="532011D7"/>
    <w:rsid w:val="534D5511"/>
    <w:rsid w:val="547D4EE1"/>
    <w:rsid w:val="556E62D8"/>
    <w:rsid w:val="55FF6E63"/>
    <w:rsid w:val="563A2117"/>
    <w:rsid w:val="56666EE2"/>
    <w:rsid w:val="56E66275"/>
    <w:rsid w:val="575E119A"/>
    <w:rsid w:val="57D04F5B"/>
    <w:rsid w:val="583A7B71"/>
    <w:rsid w:val="58E16CF4"/>
    <w:rsid w:val="59116E1E"/>
    <w:rsid w:val="59F12F67"/>
    <w:rsid w:val="5A1B1A6A"/>
    <w:rsid w:val="5AE1058E"/>
    <w:rsid w:val="5C2209C9"/>
    <w:rsid w:val="5C2E0FC6"/>
    <w:rsid w:val="5C717C28"/>
    <w:rsid w:val="5D703C53"/>
    <w:rsid w:val="5DC73739"/>
    <w:rsid w:val="5E2A10B8"/>
    <w:rsid w:val="5E3048BF"/>
    <w:rsid w:val="5EF32937"/>
    <w:rsid w:val="5F5024DD"/>
    <w:rsid w:val="5F764B4B"/>
    <w:rsid w:val="5FDC7E02"/>
    <w:rsid w:val="60501398"/>
    <w:rsid w:val="60620723"/>
    <w:rsid w:val="608A511C"/>
    <w:rsid w:val="60C70EED"/>
    <w:rsid w:val="60E9225F"/>
    <w:rsid w:val="613100ED"/>
    <w:rsid w:val="613C324D"/>
    <w:rsid w:val="619B5A1D"/>
    <w:rsid w:val="620F6680"/>
    <w:rsid w:val="631701C4"/>
    <w:rsid w:val="642247D7"/>
    <w:rsid w:val="652222F1"/>
    <w:rsid w:val="66FB611C"/>
    <w:rsid w:val="67CB0A11"/>
    <w:rsid w:val="67E07000"/>
    <w:rsid w:val="67F62964"/>
    <w:rsid w:val="681E0177"/>
    <w:rsid w:val="68970103"/>
    <w:rsid w:val="69864D60"/>
    <w:rsid w:val="69DF34C5"/>
    <w:rsid w:val="6A0E1982"/>
    <w:rsid w:val="6A656E2D"/>
    <w:rsid w:val="6AC54EBB"/>
    <w:rsid w:val="6BB81476"/>
    <w:rsid w:val="6C8C7A56"/>
    <w:rsid w:val="6CBC2992"/>
    <w:rsid w:val="6CFD0EC0"/>
    <w:rsid w:val="6DA16CC4"/>
    <w:rsid w:val="6DE94F98"/>
    <w:rsid w:val="6DF36EBB"/>
    <w:rsid w:val="6E26339E"/>
    <w:rsid w:val="6E2E4332"/>
    <w:rsid w:val="6F255DD2"/>
    <w:rsid w:val="70143D3F"/>
    <w:rsid w:val="70A26911"/>
    <w:rsid w:val="70BB7569"/>
    <w:rsid w:val="70DA4156"/>
    <w:rsid w:val="70E21403"/>
    <w:rsid w:val="71125845"/>
    <w:rsid w:val="715A44A2"/>
    <w:rsid w:val="71836523"/>
    <w:rsid w:val="735918D7"/>
    <w:rsid w:val="73816CB2"/>
    <w:rsid w:val="73CF2F2C"/>
    <w:rsid w:val="74012891"/>
    <w:rsid w:val="742023C5"/>
    <w:rsid w:val="74942A15"/>
    <w:rsid w:val="74DB6895"/>
    <w:rsid w:val="74DE3450"/>
    <w:rsid w:val="75BC227E"/>
    <w:rsid w:val="75C02610"/>
    <w:rsid w:val="75EF43A6"/>
    <w:rsid w:val="761738FD"/>
    <w:rsid w:val="76515061"/>
    <w:rsid w:val="77453D8A"/>
    <w:rsid w:val="77B74215"/>
    <w:rsid w:val="77EE267B"/>
    <w:rsid w:val="781A7701"/>
    <w:rsid w:val="783215E8"/>
    <w:rsid w:val="783D4D55"/>
    <w:rsid w:val="78536D41"/>
    <w:rsid w:val="78646AED"/>
    <w:rsid w:val="7883022F"/>
    <w:rsid w:val="78CB6927"/>
    <w:rsid w:val="78E51A91"/>
    <w:rsid w:val="79885C71"/>
    <w:rsid w:val="79FE031A"/>
    <w:rsid w:val="7A0B1EBD"/>
    <w:rsid w:val="7A2F31FC"/>
    <w:rsid w:val="7A546ECE"/>
    <w:rsid w:val="7A574C10"/>
    <w:rsid w:val="7AE97B6D"/>
    <w:rsid w:val="7AEA1217"/>
    <w:rsid w:val="7B80641F"/>
    <w:rsid w:val="7B9A6B62"/>
    <w:rsid w:val="7C0E57A2"/>
    <w:rsid w:val="7CBE3DDC"/>
    <w:rsid w:val="7D3038A0"/>
    <w:rsid w:val="7D562655"/>
    <w:rsid w:val="7DA05B17"/>
    <w:rsid w:val="7E4C4244"/>
    <w:rsid w:val="7E5C325E"/>
    <w:rsid w:val="7ECF4EEC"/>
    <w:rsid w:val="7F6C2E2F"/>
    <w:rsid w:val="7FB50B8F"/>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44"/>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unhideWhenUsed/>
    <w:qFormat/>
    <w:uiPriority w:val="0"/>
    <w:pPr>
      <w:keepNext/>
      <w:keepLines/>
      <w:spacing w:before="280" w:after="290" w:line="360" w:lineRule="auto"/>
      <w:outlineLvl w:val="3"/>
    </w:pPr>
    <w:rPr>
      <w:rFonts w:ascii="Arial" w:hAnsi="Arial" w:eastAsia="微软雅黑"/>
      <w:b/>
      <w:sz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rPr>
      <w:rFonts w:ascii="Times New Roman" w:hAnsi="Times New Roman"/>
      <w:kern w:val="0"/>
      <w:sz w:val="20"/>
      <w:szCs w:val="20"/>
    </w:rPr>
  </w:style>
  <w:style w:type="paragraph" w:styleId="8">
    <w:name w:val="Body Text Indent"/>
    <w:basedOn w:val="1"/>
    <w:autoRedefine/>
    <w:qFormat/>
    <w:uiPriority w:val="0"/>
    <w:pPr>
      <w:ind w:left="420" w:leftChars="2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2"/>
    <w:basedOn w:val="8"/>
    <w:autoRedefine/>
    <w:qFormat/>
    <w:uiPriority w:val="0"/>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rPr>
      <w:b/>
    </w:rPr>
  </w:style>
  <w:style w:type="paragraph" w:customStyle="1" w:styleId="19">
    <w:name w:val="标题4"/>
    <w:basedOn w:val="5"/>
    <w:qFormat/>
    <w:uiPriority w:val="0"/>
    <w:rPr>
      <w:rFonts w:eastAsia="宋体"/>
      <w:kern w:val="0"/>
      <w:sz w:val="36"/>
      <w:szCs w:val="20"/>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customStyle="1" w:styleId="21">
    <w:name w:val="标题1居中"/>
    <w:basedOn w:val="1"/>
    <w:qFormat/>
    <w:uiPriority w:val="0"/>
    <w:pPr>
      <w:keepNext/>
      <w:keepLines/>
      <w:spacing w:before="340" w:after="330" w:line="576" w:lineRule="auto"/>
      <w:jc w:val="center"/>
      <w:outlineLvl w:val="0"/>
    </w:pPr>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122</Pages>
  <Words>27167</Words>
  <Characters>27219</Characters>
  <Lines>408</Lines>
  <Paragraphs>114</Paragraphs>
  <TotalTime>446</TotalTime>
  <ScaleCrop>false</ScaleCrop>
  <LinksUpToDate>false</LinksUpToDate>
  <CharactersWithSpaces>28078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2024-04-15T03:29:00Z</dcterms:created>
  <dc:creator>咕叽咕叽</dc:creator>
  <cp:lastModifiedBy>Jack</cp:lastModifiedBy>
  <cp:lastPrinted>2025-04-21T06:33:00Z</cp:lastPrinted>
  <dcterms:modified xsi:type="dcterms:W3CDTF">2025-07-10T09:08:02Z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7A8163D3B2194DEAAB78580F3BE3B697_13</vt:lpwstr>
  </property>
  <property fmtid="{D5CDD505-2E9C-101B-9397-08002B2CF9AE}" pid="4" name="KSOTemplateDocerSaveRecord">
    <vt:lpwstr>eyJoZGlkIjoiZjE3MzM0MWI3OTlmNDQwZDA0NWYyZmRjMWViMGE2OTUiLCJ1c2VySWQiOiIzNjcxMzIwMzkifQ==</vt:lpwstr>
  </property>
</Properties>
</file>