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val="0"/>
        <w:snapToGrid w:val="0"/>
        <w:spacing w:after="313" w:afterLines="100"/>
        <w:textAlignment w:val="auto"/>
        <w:rPr>
          <w:rFonts w:hint="eastAsia"/>
          <w:lang w:val="en-US" w:eastAsia="zh-CN"/>
        </w:rPr>
      </w:pPr>
      <w:bookmarkStart w:id="10" w:name="_GoBack"/>
      <w:bookmarkEnd w:id="10"/>
      <w:bookmarkStart w:id="0" w:name="_Toc9603"/>
      <w:bookmarkStart w:id="1" w:name="_Toc17287"/>
      <w:bookmarkStart w:id="2" w:name="_Toc1273"/>
      <w:bookmarkStart w:id="3" w:name="_Toc1282"/>
      <w:bookmarkStart w:id="4" w:name="_Toc549"/>
      <w:bookmarkStart w:id="5" w:name="_Toc22253"/>
      <w:bookmarkStart w:id="6" w:name="_Toc12345"/>
      <w:bookmarkStart w:id="7" w:name="_Toc30099"/>
      <w:r>
        <w:rPr>
          <w:rFonts w:hint="eastAsia"/>
          <w:lang w:val="en-US" w:eastAsia="zh-CN"/>
        </w:rPr>
        <w:t>网络竞价须知</w:t>
      </w:r>
      <w:bookmarkEnd w:id="0"/>
      <w:bookmarkEnd w:id="1"/>
      <w:bookmarkEnd w:id="2"/>
      <w:bookmarkEnd w:id="3"/>
      <w:bookmarkEnd w:id="4"/>
      <w:bookmarkEnd w:id="5"/>
      <w:bookmarkEnd w:id="6"/>
      <w:bookmarkEnd w:id="7"/>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 xml:space="preserve">第一条 </w:t>
      </w:r>
      <w:r>
        <w:rPr>
          <w:rFonts w:hint="eastAsia" w:ascii="仿宋" w:hAnsi="仿宋" w:eastAsia="仿宋" w:cs="仿宋"/>
          <w:b w:val="0"/>
          <w:bCs w:val="0"/>
          <w:color w:val="auto"/>
          <w:kern w:val="2"/>
          <w:sz w:val="24"/>
          <w:szCs w:val="24"/>
          <w:lang w:val="en-US" w:eastAsia="zh-CN" w:bidi="ar-SA"/>
        </w:rPr>
        <w:t>流转交易项目《网络竞价须知》，依据《</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农村产权交易中心网络竞价实施办法（试行）》制定。</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第二条</w:t>
      </w:r>
      <w:r>
        <w:rPr>
          <w:rFonts w:hint="eastAsia" w:ascii="仿宋" w:hAnsi="仿宋" w:eastAsia="仿宋" w:cs="仿宋"/>
          <w:b w:val="0"/>
          <w:bCs w:val="0"/>
          <w:color w:val="auto"/>
          <w:kern w:val="2"/>
          <w:sz w:val="24"/>
          <w:szCs w:val="24"/>
          <w:lang w:val="en-US" w:eastAsia="zh-CN" w:bidi="ar-SA"/>
        </w:rPr>
        <w:t xml:space="preserve"> 意向受让方应当在报名截止前按通知规定缴纳保证金，签署并向</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农村产权交易中心提交本次网络竞价《网络竞价承诺函》等竞价文件，经</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产权交易中心审查合格后，取得竞价资格。意向受让方应了解并接受</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网络竞价实施办法（试行）》等业务规则的全部内容。意向受让方应全面了解并知悉转出方提供的农村产权流转交易公告披露的流转交易标的信息。意向受让方应对所竞价的流转交易标的有关情况及瑕疵已做了全面的了解，对存在的法律风险进行了判断，并对可能产生的风险进行了相应的风险应对准备。</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 xml:space="preserve">第三条 </w:t>
      </w:r>
      <w:r>
        <w:rPr>
          <w:rFonts w:hint="eastAsia" w:ascii="仿宋" w:hAnsi="仿宋" w:eastAsia="仿宋" w:cs="仿宋"/>
          <w:b w:val="0"/>
          <w:bCs w:val="0"/>
          <w:color w:val="auto"/>
          <w:kern w:val="2"/>
          <w:sz w:val="24"/>
          <w:szCs w:val="24"/>
          <w:lang w:val="en-US" w:eastAsia="zh-CN" w:bidi="ar-SA"/>
        </w:rPr>
        <w:t>意向受让方应于网络竞价活动开始前，登录</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农村产权交易中心网站（</w:t>
      </w:r>
      <w:r>
        <w:rPr>
          <w:rFonts w:hint="eastAsia" w:ascii="仿宋" w:hAnsi="仿宋" w:eastAsia="仿宋" w:cs="仿宋"/>
          <w:b w:val="0"/>
          <w:bCs w:val="0"/>
          <w:color w:val="auto"/>
          <w:kern w:val="2"/>
          <w:sz w:val="24"/>
          <w:szCs w:val="24"/>
          <w:lang w:val="en-US" w:eastAsia="zh-CN" w:bidi="ar-SA"/>
        </w:rPr>
        <w:fldChar w:fldCharType="begin"/>
      </w:r>
      <w:r>
        <w:rPr>
          <w:rFonts w:hint="eastAsia" w:ascii="仿宋" w:hAnsi="仿宋" w:eastAsia="仿宋" w:cs="仿宋"/>
          <w:b w:val="0"/>
          <w:bCs w:val="0"/>
          <w:color w:val="auto"/>
          <w:kern w:val="2"/>
          <w:sz w:val="24"/>
          <w:szCs w:val="24"/>
          <w:lang w:val="en-US" w:eastAsia="zh-CN" w:bidi="ar-SA"/>
        </w:rPr>
        <w:instrText xml:space="preserve"> HYPERLINK "http://hanshou.nongjiao.com)/" \t "_blank" </w:instrText>
      </w:r>
      <w:r>
        <w:rPr>
          <w:rFonts w:hint="eastAsia" w:ascii="仿宋" w:hAnsi="仿宋" w:eastAsia="仿宋" w:cs="仿宋"/>
          <w:b w:val="0"/>
          <w:bCs w:val="0"/>
          <w:color w:val="auto"/>
          <w:kern w:val="2"/>
          <w:sz w:val="24"/>
          <w:szCs w:val="24"/>
          <w:lang w:val="en-US" w:eastAsia="zh-CN" w:bidi="ar-SA"/>
        </w:rPr>
        <w:fldChar w:fldCharType="separate"/>
      </w:r>
      <w:r>
        <w:rPr>
          <w:rFonts w:hint="eastAsia" w:ascii="仿宋" w:hAnsi="仿宋" w:eastAsia="仿宋" w:cs="仿宋"/>
          <w:b w:val="0"/>
          <w:bCs w:val="0"/>
          <w:color w:val="auto"/>
          <w:kern w:val="2"/>
          <w:sz w:val="24"/>
          <w:szCs w:val="24"/>
          <w:lang w:val="en-US" w:eastAsia="zh-CN" w:bidi="ar-SA"/>
        </w:rPr>
        <w:t>https://linxiang.nongjiao.com）</w:t>
      </w:r>
      <w:r>
        <w:rPr>
          <w:rFonts w:hint="eastAsia" w:ascii="仿宋" w:hAnsi="仿宋" w:eastAsia="仿宋" w:cs="仿宋"/>
          <w:b w:val="0"/>
          <w:bCs w:val="0"/>
          <w:color w:val="auto"/>
          <w:kern w:val="2"/>
          <w:sz w:val="24"/>
          <w:szCs w:val="24"/>
          <w:lang w:val="en-US" w:eastAsia="zh-CN" w:bidi="ar-SA"/>
        </w:rPr>
        <w:fldChar w:fldCharType="end"/>
      </w:r>
      <w:r>
        <w:rPr>
          <w:rFonts w:hint="eastAsia" w:ascii="仿宋" w:hAnsi="仿宋" w:eastAsia="仿宋" w:cs="仿宋"/>
          <w:b w:val="0"/>
          <w:bCs w:val="0"/>
          <w:color w:val="auto"/>
          <w:kern w:val="2"/>
          <w:sz w:val="24"/>
          <w:szCs w:val="24"/>
          <w:lang w:val="en-US" w:eastAsia="zh-CN" w:bidi="ar-SA"/>
        </w:rPr>
        <w:t>，进入网络竞价平台，了解并掌握相关操作规程。</w:t>
      </w:r>
    </w:p>
    <w:p>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sz w:val="24"/>
          <w:szCs w:val="24"/>
          <w:lang w:val="en-US" w:eastAsia="zh-CN"/>
        </w:rPr>
      </w:pPr>
      <w:bookmarkStart w:id="8" w:name="_Toc21390"/>
      <w:r>
        <w:rPr>
          <w:rFonts w:hint="eastAsia" w:ascii="仿宋" w:hAnsi="仿宋" w:eastAsia="仿宋" w:cs="仿宋"/>
          <w:b/>
          <w:bCs/>
          <w:sz w:val="24"/>
          <w:szCs w:val="24"/>
          <w:lang w:val="en-US" w:eastAsia="zh-CN"/>
        </w:rPr>
        <w:t>第四条</w:t>
      </w:r>
      <w:r>
        <w:rPr>
          <w:rFonts w:hint="eastAsia" w:ascii="仿宋" w:hAnsi="仿宋" w:eastAsia="仿宋" w:cs="仿宋"/>
          <w:sz w:val="24"/>
          <w:szCs w:val="24"/>
          <w:lang w:val="en-US" w:eastAsia="zh-CN"/>
        </w:rPr>
        <w:t xml:space="preserve"> </w:t>
      </w:r>
      <w:r>
        <w:rPr>
          <w:rFonts w:hint="eastAsia" w:ascii="仿宋" w:hAnsi="仿宋" w:eastAsia="仿宋" w:cs="仿宋"/>
          <w:b w:val="0"/>
          <w:bCs w:val="0"/>
          <w:color w:val="auto"/>
          <w:kern w:val="2"/>
          <w:sz w:val="24"/>
          <w:szCs w:val="24"/>
          <w:lang w:val="en-US" w:eastAsia="zh-CN" w:bidi="ar-SA"/>
        </w:rPr>
        <w:t>本次网络竞价流转交易标的起始价为网页公示价格</w:t>
      </w:r>
      <w:r>
        <w:rPr>
          <w:rFonts w:hint="eastAsia" w:ascii="仿宋" w:hAnsi="仿宋" w:eastAsia="仿宋" w:cs="仿宋"/>
          <w:b w:val="0"/>
          <w:bCs w:val="0"/>
          <w:color w:val="auto"/>
          <w:kern w:val="2"/>
          <w:sz w:val="24"/>
          <w:szCs w:val="24"/>
          <w:u w:val="single"/>
          <w:lang w:val="en-US" w:eastAsia="zh-CN" w:bidi="ar-SA"/>
        </w:rPr>
        <w:t xml:space="preserve">           </w:t>
      </w:r>
      <w:r>
        <w:rPr>
          <w:rFonts w:hint="eastAsia" w:ascii="仿宋" w:hAnsi="仿宋" w:eastAsia="仿宋" w:cs="仿宋"/>
          <w:b w:val="0"/>
          <w:bCs w:val="0"/>
          <w:color w:val="auto"/>
          <w:kern w:val="2"/>
          <w:sz w:val="24"/>
          <w:szCs w:val="24"/>
          <w:lang w:val="en-US" w:eastAsia="zh-CN" w:bidi="ar-SA"/>
        </w:rPr>
        <w:t>元。</w:t>
      </w:r>
      <w:bookmarkEnd w:id="8"/>
    </w:p>
    <w:p>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eastAsia" w:ascii="仿宋" w:hAnsi="仿宋" w:eastAsia="仿宋" w:cs="仿宋"/>
          <w:sz w:val="24"/>
          <w:szCs w:val="24"/>
          <w:lang w:val="en-US" w:eastAsia="zh-CN"/>
        </w:rPr>
      </w:pPr>
      <w:bookmarkStart w:id="9" w:name="_Toc30324"/>
      <w:r>
        <w:rPr>
          <w:rFonts w:hint="eastAsia" w:ascii="仿宋" w:hAnsi="仿宋" w:eastAsia="仿宋" w:cs="仿宋"/>
          <w:b/>
          <w:bCs/>
          <w:sz w:val="24"/>
          <w:szCs w:val="24"/>
          <w:lang w:val="en-US" w:eastAsia="zh-CN"/>
        </w:rPr>
        <w:t>第五条</w:t>
      </w:r>
      <w:r>
        <w:rPr>
          <w:rFonts w:hint="eastAsia" w:ascii="仿宋" w:hAnsi="仿宋" w:eastAsia="仿宋" w:cs="仿宋"/>
          <w:sz w:val="24"/>
          <w:szCs w:val="24"/>
          <w:lang w:val="en-US" w:eastAsia="zh-CN"/>
        </w:rPr>
        <w:t xml:space="preserve"> 本次网络竞价采用阶梯竞价/自由竞价的竞价方式。</w:t>
      </w:r>
      <w:bookmarkEnd w:id="9"/>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阶梯竞价：加价阶梯为人民币：</w:t>
      </w:r>
      <w:r>
        <w:rPr>
          <w:rFonts w:hint="eastAsia" w:ascii="仿宋" w:hAnsi="仿宋" w:eastAsia="仿宋" w:cs="仿宋"/>
          <w:b w:val="0"/>
          <w:bCs w:val="0"/>
          <w:color w:val="auto"/>
          <w:kern w:val="2"/>
          <w:sz w:val="24"/>
          <w:szCs w:val="24"/>
          <w:u w:val="single"/>
          <w:lang w:val="en-US" w:eastAsia="zh-CN" w:bidi="ar-SA"/>
        </w:rPr>
        <w:t xml:space="preserve">            </w:t>
      </w:r>
      <w:r>
        <w:rPr>
          <w:rFonts w:hint="eastAsia" w:ascii="仿宋" w:hAnsi="仿宋" w:eastAsia="仿宋" w:cs="仿宋"/>
          <w:b w:val="0"/>
          <w:bCs w:val="0"/>
          <w:color w:val="auto"/>
          <w:kern w:val="2"/>
          <w:sz w:val="24"/>
          <w:szCs w:val="24"/>
          <w:lang w:val="en-US" w:eastAsia="zh-CN" w:bidi="ar-SA"/>
        </w:rPr>
        <w:t>元或</w:t>
      </w:r>
      <w:r>
        <w:rPr>
          <w:rFonts w:hint="eastAsia" w:ascii="仿宋" w:hAnsi="仿宋" w:eastAsia="仿宋" w:cs="仿宋"/>
          <w:b w:val="0"/>
          <w:bCs w:val="0"/>
          <w:color w:val="auto"/>
          <w:kern w:val="2"/>
          <w:sz w:val="24"/>
          <w:szCs w:val="24"/>
          <w:u w:val="single"/>
          <w:lang w:val="en-US" w:eastAsia="zh-CN" w:bidi="ar-SA"/>
        </w:rPr>
        <w:t xml:space="preserve">           </w:t>
      </w:r>
      <w:r>
        <w:rPr>
          <w:rFonts w:hint="eastAsia" w:ascii="仿宋" w:hAnsi="仿宋" w:eastAsia="仿宋" w:cs="仿宋"/>
          <w:b w:val="0"/>
          <w:bCs w:val="0"/>
          <w:color w:val="auto"/>
          <w:kern w:val="2"/>
          <w:sz w:val="24"/>
          <w:szCs w:val="24"/>
          <w:lang w:val="en-US" w:eastAsia="zh-CN" w:bidi="ar-SA"/>
        </w:rPr>
        <w:t>元的整数倍。</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自由竞价：竞买方自由加价。</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第六条</w:t>
      </w:r>
      <w:r>
        <w:rPr>
          <w:rFonts w:hint="eastAsia" w:ascii="仿宋" w:hAnsi="仿宋" w:eastAsia="仿宋" w:cs="仿宋"/>
          <w:b w:val="0"/>
          <w:bCs w:val="0"/>
          <w:color w:val="auto"/>
          <w:kern w:val="2"/>
          <w:sz w:val="24"/>
          <w:szCs w:val="24"/>
          <w:lang w:val="en-US" w:eastAsia="zh-CN" w:bidi="ar-SA"/>
        </w:rPr>
        <w:t xml:space="preserve"> 本次网络竞价由自由竞价期和延时竞价期组成。自由竞价期从公示时间开始（以竞价系统显示时间为准），自由竞价期结束后进入延时竞价期，竞价期可由多个延时竞价周期组成。在一个延时竞价周期内如未出现新的有效报价，则当前有效报价方成为该次网络竞价活动的最高报价方。</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第七条</w:t>
      </w:r>
      <w:r>
        <w:rPr>
          <w:rFonts w:hint="eastAsia" w:ascii="仿宋" w:hAnsi="仿宋" w:eastAsia="仿宋" w:cs="仿宋"/>
          <w:b w:val="0"/>
          <w:bCs w:val="0"/>
          <w:color w:val="auto"/>
          <w:kern w:val="2"/>
          <w:sz w:val="24"/>
          <w:szCs w:val="24"/>
          <w:lang w:val="en-US" w:eastAsia="zh-CN" w:bidi="ar-SA"/>
        </w:rPr>
        <w:t xml:space="preserve"> 意向受让方接受转出方确定的流转交易条件，通过</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农村产权交易中心的网络竞价系统进行动态递增报价，并接受将报价最高者确定为受让方的竞价方式。只征集到一个竞买方的，依照转出方意愿进行处理。</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第八条</w:t>
      </w:r>
      <w:r>
        <w:rPr>
          <w:rFonts w:hint="eastAsia" w:ascii="仿宋" w:hAnsi="仿宋" w:eastAsia="仿宋" w:cs="仿宋"/>
          <w:b w:val="0"/>
          <w:bCs w:val="0"/>
          <w:color w:val="auto"/>
          <w:kern w:val="2"/>
          <w:sz w:val="24"/>
          <w:szCs w:val="24"/>
          <w:lang w:val="en-US" w:eastAsia="zh-CN" w:bidi="ar-SA"/>
        </w:rPr>
        <w:t xml:space="preserve"> 竞价保证金的处置</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(一)竞价时间截止，产生有效受让方时：</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被确认为本次流转交易受让方所交纳竞价保证金的处置：被确认为本次流转交易受让方所交纳竞价保证金转为流转交易保证金，按约定时间、地点签订流转交易合同并缴纳有关费用后，竞价保证金按受让方要求处理。受让方应当在竞价结束次日起7个工作日内与转出方签署农村产权流转交易合同并缴纳有关费用。由受让方自身原因导致的逾期不签合同、不缴纳费用的，视为主动放弃受让资格，保证金作为损失赔偿，不再退还，划归转出方所有，并向</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农村产权交易中心一次性支付竞价流转交易服务费，流转交易标的由转出方自行处置。</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其他受让方所交纳保证金的处置：其他意向受让方在竞价结束次日起7个工作日内，办理退还保证金手续，如遇周六日或银行系统升级维修等特殊情况不能正常办理，则顺延办理，竞价保证金不计利息。意向受让方以银行转账方式缴付竞价保证金的，竞价保证金退回原划款账户；意向受让方以现金方式缴付竞价保证金的，其竞价保证金退还其提供的银行账户。</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(二)竞价时间截止，所有意向受让方均未报价导致本次网络竞价终结的，视为违约，所有意向受让方交纳的竞价保证金将不予退还，划归转出方所有。</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第九条</w:t>
      </w:r>
      <w:r>
        <w:rPr>
          <w:rFonts w:hint="eastAsia" w:ascii="仿宋" w:hAnsi="仿宋" w:eastAsia="仿宋" w:cs="仿宋"/>
          <w:b w:val="0"/>
          <w:bCs w:val="0"/>
          <w:color w:val="auto"/>
          <w:kern w:val="2"/>
          <w:sz w:val="24"/>
          <w:szCs w:val="24"/>
          <w:lang w:val="en-US" w:eastAsia="zh-CN" w:bidi="ar-SA"/>
        </w:rPr>
        <w:t xml:space="preserve"> 意向受让方应当对其参与网络竞价的用户名和密码的安全性负责，任何使用意向受让方用户名和密码登录进入网络竞价系统的用户，在系统中的一切行为均视为意向受让方本人行为，由意向受让方负责。</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第十条</w:t>
      </w:r>
      <w:r>
        <w:rPr>
          <w:rFonts w:hint="eastAsia" w:ascii="仿宋" w:hAnsi="仿宋" w:eastAsia="仿宋" w:cs="仿宋"/>
          <w:b w:val="0"/>
          <w:bCs w:val="0"/>
          <w:color w:val="auto"/>
          <w:kern w:val="2"/>
          <w:sz w:val="24"/>
          <w:szCs w:val="24"/>
          <w:lang w:val="en-US" w:eastAsia="zh-CN" w:bidi="ar-SA"/>
        </w:rPr>
        <w:t xml:space="preserve"> 意向受让方的义务：</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(一）意向受让方有维护竞价秩序的义务；</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(二）意向受让方有按规定缴纳各种费用的义务：</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(三）意向受让方有执行交易文件的义务；</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(四）意向受让方有服从工作人员指挥、遵守会场纪律的义务。</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第十一条</w:t>
      </w:r>
      <w:r>
        <w:rPr>
          <w:rFonts w:hint="eastAsia" w:ascii="仿宋" w:hAnsi="仿宋" w:eastAsia="仿宋" w:cs="仿宋"/>
          <w:b w:val="0"/>
          <w:bCs w:val="0"/>
          <w:color w:val="auto"/>
          <w:kern w:val="2"/>
          <w:sz w:val="24"/>
          <w:szCs w:val="24"/>
          <w:lang w:val="en-US" w:eastAsia="zh-CN" w:bidi="ar-SA"/>
        </w:rPr>
        <w:t xml:space="preserve"> 因意向受让方有如下行为产生的一切后果，</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农村产权交易中心不承担任何责任：</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（一）未及时关注</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农村产权交易中心发布的竞价相关信息的；</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（二）所填写的信息不真实、不准确或不完整而造成注册帐户无法使用或保证金无法退还的：</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（三）由于意向受让方自身的终端设备和网络异常等原因导致无法正常报价的；</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（四）网络竞价时间以网络竞价系统服务器时间为准, 由于意向受让方自身终端设备时间与网络竞价服务器时间不符而导致的未按时参与报价的。</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第十二条</w:t>
      </w:r>
      <w:r>
        <w:rPr>
          <w:rFonts w:hint="eastAsia" w:ascii="仿宋" w:hAnsi="仿宋" w:eastAsia="仿宋" w:cs="仿宋"/>
          <w:b w:val="0"/>
          <w:bCs w:val="0"/>
          <w:color w:val="auto"/>
          <w:kern w:val="2"/>
          <w:sz w:val="24"/>
          <w:szCs w:val="24"/>
          <w:lang w:val="en-US" w:eastAsia="zh-CN" w:bidi="ar-SA"/>
        </w:rPr>
        <w:t xml:space="preserve"> 网络竞价系统因不可抗力、软硬件故障、非法入侵、恶意攻击等原因而导致系统异常、竞价活动中断的，当次网络竞价结果无效，</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农村产权交易中心立即与转出方协商后续方案，并将结果及时通知各意向受让方，同时</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农村产权交易中心不承担任何责任。</w:t>
      </w:r>
    </w:p>
    <w:p>
      <w:pPr>
        <w:keepNext w:val="0"/>
        <w:keepLines w:val="0"/>
        <w:pageBreakBefore w:val="0"/>
        <w:widowControl w:val="0"/>
        <w:kinsoku/>
        <w:wordWrap/>
        <w:overflowPunct/>
        <w:topLinePunct w:val="0"/>
        <w:autoSpaceDE/>
        <w:autoSpaceDN/>
        <w:bidi w:val="0"/>
        <w:adjustRightInd w:val="0"/>
        <w:snapToGrid w:val="0"/>
        <w:spacing w:line="240" w:lineRule="auto"/>
        <w:ind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第十三条</w:t>
      </w:r>
      <w:r>
        <w:rPr>
          <w:rFonts w:hint="eastAsia" w:ascii="仿宋" w:hAnsi="仿宋" w:eastAsia="仿宋" w:cs="仿宋"/>
          <w:b w:val="0"/>
          <w:bCs w:val="0"/>
          <w:color w:val="auto"/>
          <w:kern w:val="2"/>
          <w:sz w:val="24"/>
          <w:szCs w:val="24"/>
          <w:lang w:val="en-US" w:eastAsia="zh-CN" w:bidi="ar-SA"/>
        </w:rPr>
        <w:t xml:space="preserve"> 法律责任：</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违反流转交易文件规定，造成流转交易失败，需重新组织流转交易的，对违反规定的意向受让方，取消再次竞价资格，并依法追究法律责任。</w:t>
      </w:r>
    </w:p>
    <w:p>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对扰乱流转交易秩序的意向受让方，制止无效的，取消其竞价资格，构成犯罪的，依法追究刑事责任。</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第十四条</w:t>
      </w:r>
      <w:r>
        <w:rPr>
          <w:rFonts w:hint="eastAsia" w:ascii="仿宋" w:hAnsi="仿宋" w:eastAsia="仿宋" w:cs="仿宋"/>
          <w:b w:val="0"/>
          <w:bCs w:val="0"/>
          <w:color w:val="auto"/>
          <w:kern w:val="2"/>
          <w:sz w:val="24"/>
          <w:szCs w:val="24"/>
          <w:lang w:val="en-US" w:eastAsia="zh-CN" w:bidi="ar-SA"/>
        </w:rPr>
        <w:t xml:space="preserve"> 本须知未规定事宜按照</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农村产权交易中心相关流转交易规则、制度、管理办法等文件执行。</w:t>
      </w:r>
    </w:p>
    <w:p>
      <w:pPr>
        <w:keepNext w:val="0"/>
        <w:keepLines w:val="0"/>
        <w:pageBreakBefore w:val="0"/>
        <w:widowControl w:val="0"/>
        <w:kinsoku/>
        <w:wordWrap/>
        <w:overflowPunct/>
        <w:topLinePunct w:val="0"/>
        <w:autoSpaceDE/>
        <w:autoSpaceDN/>
        <w:bidi w:val="0"/>
        <w:adjustRightInd w:val="0"/>
        <w:snapToGrid w:val="0"/>
        <w:spacing w:after="1249" w:afterLines="400" w:line="240" w:lineRule="auto"/>
        <w:ind w:left="0" w:leftChars="0" w:firstLine="482" w:firstLineChars="200"/>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第十五条</w:t>
      </w:r>
      <w:r>
        <w:rPr>
          <w:rFonts w:hint="eastAsia" w:ascii="仿宋" w:hAnsi="仿宋" w:eastAsia="仿宋" w:cs="仿宋"/>
          <w:b w:val="0"/>
          <w:bCs w:val="0"/>
          <w:color w:val="auto"/>
          <w:kern w:val="2"/>
          <w:sz w:val="24"/>
          <w:szCs w:val="24"/>
          <w:lang w:val="en-US" w:eastAsia="zh-CN" w:bidi="ar-SA"/>
        </w:rPr>
        <w:t xml:space="preserve"> 本《网络竞价须知》有关条款的解释权和修订权归</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w:t>
      </w:r>
      <w:r>
        <w:rPr>
          <w:rFonts w:hint="eastAsia" w:ascii="仿宋" w:hAnsi="仿宋" w:cs="仿宋"/>
          <w:b w:val="0"/>
          <w:bCs w:val="0"/>
          <w:color w:val="auto"/>
          <w:kern w:val="2"/>
          <w:sz w:val="24"/>
          <w:szCs w:val="24"/>
          <w:lang w:val="en-US" w:eastAsia="zh-CN" w:bidi="ar-SA"/>
        </w:rPr>
        <w:t>张家界市</w:t>
      </w:r>
      <w:r>
        <w:rPr>
          <w:rFonts w:hint="eastAsia" w:ascii="仿宋" w:hAnsi="仿宋" w:eastAsia="仿宋" w:cs="仿宋"/>
          <w:b w:val="0"/>
          <w:bCs w:val="0"/>
          <w:color w:val="auto"/>
          <w:kern w:val="2"/>
          <w:sz w:val="24"/>
          <w:szCs w:val="24"/>
          <w:lang w:val="en-US" w:eastAsia="zh-CN" w:bidi="ar-SA"/>
        </w:rPr>
        <w:t>农村产权交易中心有权根据相关法律、法规和现实情况进行变更和修订。</w:t>
      </w:r>
    </w:p>
    <w:p>
      <w:pPr>
        <w:keepNext w:val="0"/>
        <w:keepLines w:val="0"/>
        <w:pageBreakBefore w:val="0"/>
        <w:widowControl w:val="0"/>
        <w:kinsoku/>
        <w:wordWrap w:val="0"/>
        <w:overflowPunct/>
        <w:topLinePunct w:val="0"/>
        <w:autoSpaceDE/>
        <w:autoSpaceDN/>
        <w:bidi w:val="0"/>
        <w:adjustRightInd/>
        <w:snapToGrid w:val="0"/>
        <w:spacing w:line="240" w:lineRule="auto"/>
        <w:ind w:firstLine="480" w:firstLineChars="200"/>
        <w:jc w:val="right"/>
        <w:textAlignment w:val="auto"/>
        <w:rPr>
          <w:rFonts w:hint="default"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意向受让方签字：</w:t>
      </w:r>
      <w:r>
        <w:rPr>
          <w:rFonts w:hint="eastAsia" w:ascii="仿宋" w:hAnsi="仿宋" w:cs="仿宋"/>
          <w:b w:val="0"/>
          <w:bCs w:val="0"/>
          <w:color w:val="auto"/>
          <w:kern w:val="2"/>
          <w:sz w:val="24"/>
          <w:szCs w:val="24"/>
          <w:lang w:val="en-US" w:eastAsia="zh-CN" w:bidi="ar-SA"/>
        </w:rPr>
        <w:t xml:space="preserve">    </w:t>
      </w:r>
    </w:p>
    <w:p>
      <w:pPr>
        <w:keepNext w:val="0"/>
        <w:keepLines w:val="0"/>
        <w:pageBreakBefore w:val="0"/>
        <w:widowControl w:val="0"/>
        <w:kinsoku/>
        <w:wordWrap/>
        <w:overflowPunct/>
        <w:topLinePunct w:val="0"/>
        <w:autoSpaceDE/>
        <w:autoSpaceDN/>
        <w:bidi w:val="0"/>
        <w:adjustRightInd/>
        <w:snapToGrid w:val="0"/>
        <w:spacing w:line="240" w:lineRule="auto"/>
        <w:jc w:val="right"/>
        <w:textAlignment w:val="auto"/>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   年   月   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0MGM2YzRhMzA1MDNiNmNkNTk2NDdjZjM1YTEyYzUifQ=="/>
  </w:docVars>
  <w:rsids>
    <w:rsidRoot w:val="00000000"/>
    <w:rsid w:val="0A9C1055"/>
    <w:rsid w:val="0DEF7525"/>
    <w:rsid w:val="1C163316"/>
    <w:rsid w:val="24A46B8C"/>
    <w:rsid w:val="287E1D08"/>
    <w:rsid w:val="2BCA10C0"/>
    <w:rsid w:val="34761270"/>
    <w:rsid w:val="35BD4C12"/>
    <w:rsid w:val="3D7C4808"/>
    <w:rsid w:val="45433312"/>
    <w:rsid w:val="47E57C0C"/>
    <w:rsid w:val="55033376"/>
    <w:rsid w:val="56156D66"/>
    <w:rsid w:val="71935C0E"/>
    <w:rsid w:val="7F560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3">
    <w:name w:val="heading 1"/>
    <w:basedOn w:val="1"/>
    <w:next w:val="1"/>
    <w:link w:val="13"/>
    <w:qFormat/>
    <w:uiPriority w:val="0"/>
    <w:pPr>
      <w:keepNext/>
      <w:keepLines/>
      <w:spacing w:line="360" w:lineRule="auto"/>
      <w:ind w:firstLine="0" w:firstLineChars="0"/>
      <w:jc w:val="center"/>
      <w:outlineLvl w:val="0"/>
    </w:pPr>
    <w:rPr>
      <w:rFonts w:ascii="Times New Roman" w:hAnsi="Times New Roman" w:eastAsia="方正小标宋简体" w:cs="Times New Roman"/>
      <w:b/>
      <w:sz w:val="36"/>
      <w:szCs w:val="20"/>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Verdana" w:hAnsi="Verdana"/>
      <w:szCs w:val="20"/>
    </w:rPr>
  </w:style>
  <w:style w:type="paragraph" w:styleId="4">
    <w:name w:val="Body Text"/>
    <w:basedOn w:val="1"/>
    <w:qFormat/>
    <w:uiPriority w:val="0"/>
    <w:pPr>
      <w:adjustRightInd w:val="0"/>
      <w:snapToGrid w:val="0"/>
      <w:spacing w:line="360" w:lineRule="auto"/>
      <w:ind w:left="0" w:firstLine="1041" w:firstLineChars="200"/>
    </w:pPr>
    <w:rPr>
      <w:rFonts w:ascii="宋体" w:hAnsi="宋体" w:eastAsia="仿宋" w:cs="宋体"/>
      <w:sz w:val="28"/>
      <w:szCs w:val="32"/>
      <w:lang w:val="zh-CN" w:bidi="zh-CN"/>
    </w:rPr>
  </w:style>
  <w:style w:type="paragraph" w:styleId="5">
    <w:name w:val="Body Text Indent"/>
    <w:basedOn w:val="1"/>
    <w:unhideWhenUsed/>
    <w:qFormat/>
    <w:uiPriority w:val="99"/>
    <w:pPr>
      <w:spacing w:after="120"/>
      <w:ind w:left="420" w:leftChars="200"/>
    </w:pPr>
  </w:style>
  <w:style w:type="paragraph" w:styleId="6">
    <w:name w:val="Body Text First Indent 2"/>
    <w:basedOn w:val="5"/>
    <w:qFormat/>
    <w:uiPriority w:val="0"/>
    <w:pPr>
      <w:ind w:firstLine="420" w:firstLineChars="200"/>
    </w:pPr>
    <w:rPr>
      <w:rFonts w:ascii="Calibri" w:hAnsi="Calibri" w:eastAsia="宋体" w:cs="Times New Roman"/>
      <w:sz w:val="28"/>
      <w:szCs w:val="24"/>
    </w:rPr>
  </w:style>
  <w:style w:type="table" w:styleId="8">
    <w:name w:val="Table Grid"/>
    <w:basedOn w:val="7"/>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0">
    <w:name w:val="Body text|1"/>
    <w:basedOn w:val="1"/>
    <w:qFormat/>
    <w:uiPriority w:val="0"/>
    <w:pPr>
      <w:spacing w:line="316" w:lineRule="auto"/>
      <w:ind w:firstLine="400"/>
      <w:jc w:val="left"/>
    </w:pPr>
    <w:rPr>
      <w:rFonts w:ascii="MingLiU" w:hAnsi="MingLiU" w:eastAsia="MingLiU" w:cs="MingLiU"/>
      <w:color w:val="3F3C4A"/>
      <w:kern w:val="0"/>
      <w:sz w:val="19"/>
      <w:szCs w:val="19"/>
      <w:lang w:val="zh-TW" w:eastAsia="zh-TW" w:bidi="zh-TW"/>
    </w:rPr>
  </w:style>
  <w:style w:type="paragraph" w:customStyle="1" w:styleId="11">
    <w:name w:val="Table caption|1"/>
    <w:basedOn w:val="1"/>
    <w:qFormat/>
    <w:uiPriority w:val="0"/>
    <w:pPr>
      <w:spacing w:after="60"/>
      <w:jc w:val="left"/>
    </w:pPr>
    <w:rPr>
      <w:rFonts w:ascii="MingLiU" w:hAnsi="MingLiU" w:eastAsia="MingLiU" w:cs="MingLiU"/>
      <w:color w:val="3F3C4A"/>
      <w:kern w:val="0"/>
      <w:sz w:val="19"/>
      <w:szCs w:val="19"/>
      <w:lang w:val="zh-TW" w:eastAsia="zh-TW" w:bidi="zh-TW"/>
    </w:rPr>
  </w:style>
  <w:style w:type="character" w:customStyle="1" w:styleId="12">
    <w:name w:val="标题 1 字符"/>
    <w:link w:val="3"/>
    <w:qFormat/>
    <w:uiPriority w:val="0"/>
    <w:rPr>
      <w:rFonts w:ascii="Times New Roman" w:hAnsi="Times New Roman" w:eastAsia="方正小标宋简体" w:cs="Times New Roman"/>
      <w:b/>
      <w:sz w:val="36"/>
      <w:szCs w:val="20"/>
    </w:rPr>
  </w:style>
  <w:style w:type="character" w:customStyle="1" w:styleId="13">
    <w:name w:val="标题 1 Char"/>
    <w:link w:val="3"/>
    <w:qFormat/>
    <w:uiPriority w:val="0"/>
    <w:rPr>
      <w:rFonts w:ascii="Times New Roman" w:hAnsi="Times New Roman" w:eastAsia="方正小标宋简体" w:cs="Times New Roman"/>
      <w:b/>
      <w:sz w:val="36"/>
      <w:szCs w:val="20"/>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620</Words>
  <Characters>620</Characters>
  <Lines>0</Lines>
  <Paragraphs>0</Paragraphs>
  <TotalTime>0</TotalTime>
  <ScaleCrop>false</ScaleCrop>
  <LinksUpToDate>false</LinksUpToDate>
  <CharactersWithSpaces>772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2022-12-05T08:05:00Z</dcterms:created>
  <dc:creator>Administrator</dc:creator>
  <cp:lastModifiedBy>Nicole康康</cp:lastModifiedBy>
  <dcterms:modified xsi:type="dcterms:W3CDTF">2023-11-28T08:59:12Z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BAFF1171DE3A490D848EB22B7F59E9ED_13</vt:lpwstr>
  </property>
</Properties>
</file>